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2D" w:rsidRPr="001D212D" w:rsidRDefault="001D212D" w:rsidP="001D212D">
      <w:pPr>
        <w:jc w:val="center"/>
        <w:rPr>
          <w:rFonts w:cs="Tahoma"/>
          <w:caps/>
          <w:sz w:val="48"/>
          <w:szCs w:val="48"/>
        </w:rPr>
      </w:pPr>
      <w:r w:rsidRPr="001D212D">
        <w:rPr>
          <w:rFonts w:cs="Tahoma"/>
          <w:caps/>
          <w:sz w:val="48"/>
          <w:szCs w:val="48"/>
        </w:rPr>
        <w:t>Vysoká škola ekonomická</w:t>
      </w:r>
    </w:p>
    <w:p w:rsidR="001D212D" w:rsidRPr="001D212D" w:rsidRDefault="001D212D" w:rsidP="001D212D">
      <w:pPr>
        <w:jc w:val="center"/>
        <w:rPr>
          <w:sz w:val="44"/>
          <w:szCs w:val="44"/>
        </w:rPr>
      </w:pPr>
      <w:r w:rsidRPr="001D212D">
        <w:rPr>
          <w:sz w:val="44"/>
          <w:szCs w:val="44"/>
        </w:rPr>
        <w:t>Fakulta podnikohospodářská</w:t>
      </w:r>
    </w:p>
    <w:p w:rsidR="001D212D" w:rsidRDefault="001D212D" w:rsidP="001D212D">
      <w:pPr>
        <w:rPr>
          <w:rFonts w:cs="Tahoma"/>
          <w:lang w:val="de-DE"/>
        </w:rPr>
      </w:pPr>
    </w:p>
    <w:p w:rsidR="001D212D" w:rsidRDefault="001D212D" w:rsidP="001D212D">
      <w:pPr>
        <w:jc w:val="center"/>
        <w:rPr>
          <w:rFonts w:cs="Tahoma"/>
        </w:rPr>
      </w:pPr>
      <w:r>
        <w:rPr>
          <w:noProof/>
          <w:lang w:eastAsia="cs-CZ"/>
        </w:rPr>
        <w:drawing>
          <wp:inline distT="0" distB="0" distL="0" distR="0">
            <wp:extent cx="2238375" cy="2207962"/>
            <wp:effectExtent l="0" t="0" r="0" b="190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4212" cy="2213720"/>
                    </a:xfrm>
                    <a:prstGeom prst="rect">
                      <a:avLst/>
                    </a:prstGeom>
                    <a:noFill/>
                    <a:ln>
                      <a:noFill/>
                    </a:ln>
                  </pic:spPr>
                </pic:pic>
              </a:graphicData>
            </a:graphic>
          </wp:inline>
        </w:drawing>
      </w:r>
    </w:p>
    <w:p w:rsidR="001D212D" w:rsidRDefault="001D212D" w:rsidP="001D212D">
      <w:pPr>
        <w:jc w:val="center"/>
        <w:rPr>
          <w:sz w:val="40"/>
          <w:szCs w:val="40"/>
        </w:rPr>
      </w:pPr>
    </w:p>
    <w:p w:rsidR="0092584C" w:rsidRDefault="0092584C" w:rsidP="0092584C">
      <w:pPr>
        <w:jc w:val="center"/>
        <w:rPr>
          <w:sz w:val="32"/>
          <w:szCs w:val="32"/>
        </w:rPr>
      </w:pPr>
    </w:p>
    <w:p w:rsidR="0092584C" w:rsidRPr="0092584C" w:rsidRDefault="0092584C" w:rsidP="0092584C">
      <w:pPr>
        <w:jc w:val="center"/>
        <w:rPr>
          <w:sz w:val="32"/>
          <w:szCs w:val="32"/>
        </w:rPr>
      </w:pPr>
      <w:r w:rsidRPr="0092584C">
        <w:rPr>
          <w:sz w:val="32"/>
          <w:szCs w:val="32"/>
        </w:rPr>
        <w:t>Výzkumný projekt TAČR TL02000467</w:t>
      </w:r>
    </w:p>
    <w:p w:rsidR="001D212D" w:rsidRDefault="00D80DA7" w:rsidP="0092584C">
      <w:pPr>
        <w:jc w:val="center"/>
        <w:rPr>
          <w:szCs w:val="24"/>
        </w:rPr>
      </w:pPr>
      <w:r w:rsidRPr="0092584C">
        <w:rPr>
          <w:szCs w:val="24"/>
        </w:rPr>
        <w:t>Vývoj preventivních předinsolve</w:t>
      </w:r>
      <w:r w:rsidR="00377B28">
        <w:rPr>
          <w:szCs w:val="24"/>
        </w:rPr>
        <w:t>n</w:t>
      </w:r>
      <w:r w:rsidRPr="0092584C">
        <w:rPr>
          <w:szCs w:val="24"/>
        </w:rPr>
        <w:t>čních a insolvenčních restrukturalizací</w:t>
      </w:r>
      <w:r w:rsidR="0092584C" w:rsidRPr="0092584C">
        <w:rPr>
          <w:szCs w:val="24"/>
        </w:rPr>
        <w:t xml:space="preserve"> </w:t>
      </w:r>
      <w:r w:rsidRPr="0092584C">
        <w:rPr>
          <w:szCs w:val="24"/>
        </w:rPr>
        <w:t xml:space="preserve">podniků </w:t>
      </w:r>
      <w:proofErr w:type="gramStart"/>
      <w:r w:rsidRPr="0092584C">
        <w:rPr>
          <w:szCs w:val="24"/>
        </w:rPr>
        <w:t>ve</w:t>
      </w:r>
      <w:proofErr w:type="gramEnd"/>
      <w:r w:rsidRPr="0092584C">
        <w:rPr>
          <w:szCs w:val="24"/>
        </w:rPr>
        <w:t xml:space="preserve"> finančních </w:t>
      </w:r>
      <w:proofErr w:type="gramStart"/>
      <w:r w:rsidRPr="0092584C">
        <w:rPr>
          <w:szCs w:val="24"/>
        </w:rPr>
        <w:t>obtížích</w:t>
      </w:r>
      <w:proofErr w:type="gramEnd"/>
      <w:r w:rsidRPr="0092584C">
        <w:rPr>
          <w:szCs w:val="24"/>
        </w:rPr>
        <w:t>, možnosti zvýšení využívání a úspěšnosti</w:t>
      </w:r>
      <w:r w:rsidR="0092584C" w:rsidRPr="0092584C">
        <w:rPr>
          <w:szCs w:val="24"/>
        </w:rPr>
        <w:t xml:space="preserve"> </w:t>
      </w:r>
      <w:r w:rsidRPr="0092584C">
        <w:rPr>
          <w:szCs w:val="24"/>
        </w:rPr>
        <w:t>těchto postupů pomocí stanovení systému včasného varování a</w:t>
      </w:r>
      <w:r w:rsidR="0092584C">
        <w:rPr>
          <w:szCs w:val="24"/>
        </w:rPr>
        <w:t> </w:t>
      </w:r>
      <w:r w:rsidRPr="0092584C">
        <w:rPr>
          <w:szCs w:val="24"/>
        </w:rPr>
        <w:t>stanovení</w:t>
      </w:r>
      <w:r w:rsidR="0092584C" w:rsidRPr="0092584C">
        <w:rPr>
          <w:szCs w:val="24"/>
        </w:rPr>
        <w:t xml:space="preserve"> </w:t>
      </w:r>
      <w:r w:rsidRPr="0092584C">
        <w:rPr>
          <w:szCs w:val="24"/>
        </w:rPr>
        <w:t>postupů pro preventivní restrukturalizace</w:t>
      </w:r>
    </w:p>
    <w:p w:rsidR="00B71C34" w:rsidRDefault="00B71C34" w:rsidP="0092584C">
      <w:pPr>
        <w:jc w:val="center"/>
        <w:rPr>
          <w:szCs w:val="24"/>
        </w:rPr>
      </w:pPr>
    </w:p>
    <w:p w:rsidR="00B71C34" w:rsidRDefault="00B71C34" w:rsidP="0092584C">
      <w:pPr>
        <w:jc w:val="center"/>
        <w:rPr>
          <w:szCs w:val="24"/>
        </w:rPr>
      </w:pPr>
    </w:p>
    <w:p w:rsidR="00B71C34" w:rsidRDefault="00B71C34" w:rsidP="0092584C">
      <w:pPr>
        <w:jc w:val="center"/>
        <w:rPr>
          <w:szCs w:val="24"/>
        </w:rPr>
      </w:pPr>
    </w:p>
    <w:p w:rsidR="00B71C34" w:rsidRPr="002A64D5" w:rsidRDefault="00943640" w:rsidP="00B71C34">
      <w:pPr>
        <w:jc w:val="center"/>
        <w:rPr>
          <w:rStyle w:val="Nzevknihy"/>
          <w:sz w:val="44"/>
          <w:szCs w:val="44"/>
        </w:rPr>
      </w:pPr>
      <w:r w:rsidRPr="002A64D5">
        <w:rPr>
          <w:rStyle w:val="Nzevknihy"/>
          <w:sz w:val="44"/>
          <w:szCs w:val="44"/>
        </w:rPr>
        <w:t>Odborná zpráva</w:t>
      </w:r>
    </w:p>
    <w:p w:rsidR="00B71C34" w:rsidRDefault="00943640" w:rsidP="006D6DBA">
      <w:pPr>
        <w:autoSpaceDE w:val="0"/>
        <w:autoSpaceDN w:val="0"/>
        <w:adjustRightInd w:val="0"/>
        <w:spacing w:after="0" w:line="240" w:lineRule="auto"/>
        <w:jc w:val="center"/>
        <w:rPr>
          <w:szCs w:val="24"/>
        </w:rPr>
      </w:pPr>
      <w:r>
        <w:rPr>
          <w:szCs w:val="24"/>
        </w:rPr>
        <w:t xml:space="preserve">Odborná </w:t>
      </w:r>
      <w:r w:rsidR="00377B28">
        <w:rPr>
          <w:szCs w:val="24"/>
        </w:rPr>
        <w:t xml:space="preserve">průběžná </w:t>
      </w:r>
      <w:r>
        <w:rPr>
          <w:szCs w:val="24"/>
        </w:rPr>
        <w:t>zpráva za první rok (2019)</w:t>
      </w:r>
    </w:p>
    <w:p w:rsidR="00377B28" w:rsidRDefault="00377B28" w:rsidP="006D6DBA">
      <w:pPr>
        <w:autoSpaceDE w:val="0"/>
        <w:autoSpaceDN w:val="0"/>
        <w:adjustRightInd w:val="0"/>
        <w:spacing w:after="0" w:line="240" w:lineRule="auto"/>
        <w:jc w:val="center"/>
        <w:rPr>
          <w:szCs w:val="24"/>
        </w:rPr>
      </w:pPr>
    </w:p>
    <w:p w:rsidR="00377B28" w:rsidRDefault="00377B28" w:rsidP="006D6DBA">
      <w:pPr>
        <w:autoSpaceDE w:val="0"/>
        <w:autoSpaceDN w:val="0"/>
        <w:adjustRightInd w:val="0"/>
        <w:spacing w:after="0" w:line="240" w:lineRule="auto"/>
        <w:jc w:val="center"/>
        <w:rPr>
          <w:szCs w:val="24"/>
        </w:rPr>
      </w:pPr>
    </w:p>
    <w:p w:rsidR="00377B28" w:rsidRDefault="00377B28" w:rsidP="006D6DBA">
      <w:pPr>
        <w:autoSpaceDE w:val="0"/>
        <w:autoSpaceDN w:val="0"/>
        <w:adjustRightInd w:val="0"/>
        <w:spacing w:after="0" w:line="240" w:lineRule="auto"/>
        <w:jc w:val="center"/>
        <w:rPr>
          <w:szCs w:val="24"/>
        </w:rPr>
      </w:pPr>
      <w:proofErr w:type="gramStart"/>
      <w:r>
        <w:rPr>
          <w:szCs w:val="24"/>
        </w:rPr>
        <w:t>26.1.2020</w:t>
      </w:r>
      <w:proofErr w:type="gramEnd"/>
    </w:p>
    <w:p w:rsidR="00CF225B" w:rsidRDefault="00CF225B">
      <w:pPr>
        <w:jc w:val="left"/>
        <w:rPr>
          <w:szCs w:val="24"/>
        </w:rPr>
      </w:pPr>
      <w:r>
        <w:rPr>
          <w:szCs w:val="24"/>
        </w:rPr>
        <w:br w:type="page"/>
      </w:r>
    </w:p>
    <w:p w:rsidR="00CF225B" w:rsidRDefault="00CF225B" w:rsidP="006D6DBA">
      <w:pPr>
        <w:autoSpaceDE w:val="0"/>
        <w:autoSpaceDN w:val="0"/>
        <w:adjustRightInd w:val="0"/>
        <w:spacing w:after="0" w:line="240" w:lineRule="auto"/>
        <w:jc w:val="center"/>
        <w:rPr>
          <w:szCs w:val="24"/>
        </w:rPr>
      </w:pPr>
    </w:p>
    <w:sdt>
      <w:sdtPr>
        <w:rPr>
          <w:rFonts w:ascii="Times New Roman" w:eastAsiaTheme="minorHAnsi" w:hAnsi="Times New Roman" w:cstheme="minorBidi"/>
          <w:color w:val="auto"/>
          <w:sz w:val="24"/>
          <w:szCs w:val="22"/>
          <w:lang w:eastAsia="en-US"/>
        </w:rPr>
        <w:id w:val="-1210641039"/>
        <w:docPartObj>
          <w:docPartGallery w:val="Table of Contents"/>
          <w:docPartUnique/>
        </w:docPartObj>
      </w:sdtPr>
      <w:sdtEndPr>
        <w:rPr>
          <w:b/>
          <w:bCs/>
        </w:rPr>
      </w:sdtEndPr>
      <w:sdtContent>
        <w:p w:rsidR="00F25673" w:rsidRPr="002A64D5" w:rsidRDefault="00F25673">
          <w:pPr>
            <w:pStyle w:val="Nadpisobsahu"/>
            <w:rPr>
              <w:rFonts w:ascii="Times New Roman" w:hAnsi="Times New Roman" w:cs="Times New Roman"/>
              <w:b/>
              <w:color w:val="auto"/>
            </w:rPr>
          </w:pPr>
          <w:r w:rsidRPr="002A64D5">
            <w:rPr>
              <w:rFonts w:ascii="Times New Roman" w:hAnsi="Times New Roman" w:cs="Times New Roman"/>
              <w:b/>
              <w:color w:val="auto"/>
            </w:rPr>
            <w:t>Obsah</w:t>
          </w:r>
        </w:p>
        <w:p w:rsidR="00B535EE" w:rsidRDefault="00163A91">
          <w:pPr>
            <w:pStyle w:val="Obsah1"/>
            <w:tabs>
              <w:tab w:val="right" w:leader="dot" w:pos="9062"/>
            </w:tabs>
            <w:rPr>
              <w:rFonts w:asciiTheme="minorHAnsi" w:eastAsiaTheme="minorEastAsia" w:hAnsiTheme="minorHAnsi"/>
              <w:noProof/>
              <w:sz w:val="22"/>
              <w:lang w:eastAsia="cs-CZ"/>
            </w:rPr>
          </w:pPr>
          <w:r>
            <w:rPr>
              <w:b/>
              <w:bCs/>
            </w:rPr>
            <w:fldChar w:fldCharType="begin"/>
          </w:r>
          <w:r w:rsidR="00F25673">
            <w:rPr>
              <w:b/>
              <w:bCs/>
            </w:rPr>
            <w:instrText xml:space="preserve"> TOC \o "1-3" \h \z \u </w:instrText>
          </w:r>
          <w:r>
            <w:rPr>
              <w:b/>
              <w:bCs/>
            </w:rPr>
            <w:fldChar w:fldCharType="separate"/>
          </w:r>
          <w:hyperlink w:anchor="_Toc31054441" w:history="1">
            <w:r w:rsidR="00B535EE" w:rsidRPr="00E87469">
              <w:rPr>
                <w:rStyle w:val="Hypertextovodkaz"/>
                <w:noProof/>
              </w:rPr>
              <w:t>PŘEHLED NEJPOUŽÍVANĚJŠÍCH ZKRATEK</w:t>
            </w:r>
            <w:r w:rsidR="00B535EE">
              <w:rPr>
                <w:noProof/>
                <w:webHidden/>
              </w:rPr>
              <w:tab/>
            </w:r>
            <w:r>
              <w:rPr>
                <w:noProof/>
                <w:webHidden/>
              </w:rPr>
              <w:fldChar w:fldCharType="begin"/>
            </w:r>
            <w:r w:rsidR="00B535EE">
              <w:rPr>
                <w:noProof/>
                <w:webHidden/>
              </w:rPr>
              <w:instrText xml:space="preserve"> PAGEREF _Toc31054441 \h </w:instrText>
            </w:r>
            <w:r>
              <w:rPr>
                <w:noProof/>
                <w:webHidden/>
              </w:rPr>
            </w:r>
            <w:r>
              <w:rPr>
                <w:noProof/>
                <w:webHidden/>
              </w:rPr>
              <w:fldChar w:fldCharType="separate"/>
            </w:r>
            <w:r w:rsidR="00B535EE">
              <w:rPr>
                <w:noProof/>
                <w:webHidden/>
              </w:rPr>
              <w:t>6</w:t>
            </w:r>
            <w:r>
              <w:rPr>
                <w:noProof/>
                <w:webHidden/>
              </w:rPr>
              <w:fldChar w:fldCharType="end"/>
            </w:r>
          </w:hyperlink>
        </w:p>
        <w:p w:rsidR="00B535EE" w:rsidRDefault="00163A91">
          <w:pPr>
            <w:pStyle w:val="Obsah1"/>
            <w:tabs>
              <w:tab w:val="left" w:pos="440"/>
              <w:tab w:val="right" w:leader="dot" w:pos="9062"/>
            </w:tabs>
            <w:rPr>
              <w:rFonts w:asciiTheme="minorHAnsi" w:eastAsiaTheme="minorEastAsia" w:hAnsiTheme="minorHAnsi"/>
              <w:noProof/>
              <w:sz w:val="22"/>
              <w:lang w:eastAsia="cs-CZ"/>
            </w:rPr>
          </w:pPr>
          <w:hyperlink w:anchor="_Toc31054442" w:history="1">
            <w:r w:rsidR="00B535EE" w:rsidRPr="00E87469">
              <w:rPr>
                <w:rStyle w:val="Hypertextovodkaz"/>
                <w:noProof/>
              </w:rPr>
              <w:t>1.</w:t>
            </w:r>
            <w:r w:rsidR="00B535EE">
              <w:rPr>
                <w:rFonts w:asciiTheme="minorHAnsi" w:eastAsiaTheme="minorEastAsia" w:hAnsiTheme="minorHAnsi"/>
                <w:noProof/>
                <w:sz w:val="22"/>
                <w:lang w:eastAsia="cs-CZ"/>
              </w:rPr>
              <w:tab/>
            </w:r>
            <w:r w:rsidR="00B535EE" w:rsidRPr="00E87469">
              <w:rPr>
                <w:rStyle w:val="Hypertextovodkaz"/>
                <w:noProof/>
              </w:rPr>
              <w:t>POPIS ŘEŠENÍ PROJEKTU</w:t>
            </w:r>
            <w:r w:rsidR="00B535EE">
              <w:rPr>
                <w:noProof/>
                <w:webHidden/>
              </w:rPr>
              <w:tab/>
            </w:r>
            <w:r>
              <w:rPr>
                <w:noProof/>
                <w:webHidden/>
              </w:rPr>
              <w:fldChar w:fldCharType="begin"/>
            </w:r>
            <w:r w:rsidR="00B535EE">
              <w:rPr>
                <w:noProof/>
                <w:webHidden/>
              </w:rPr>
              <w:instrText xml:space="preserve"> PAGEREF _Toc31054442 \h </w:instrText>
            </w:r>
            <w:r>
              <w:rPr>
                <w:noProof/>
                <w:webHidden/>
              </w:rPr>
            </w:r>
            <w:r>
              <w:rPr>
                <w:noProof/>
                <w:webHidden/>
              </w:rPr>
              <w:fldChar w:fldCharType="separate"/>
            </w:r>
            <w:r w:rsidR="00B535EE">
              <w:rPr>
                <w:noProof/>
                <w:webHidden/>
              </w:rPr>
              <w:t>7</w:t>
            </w:r>
            <w:r>
              <w:rPr>
                <w:noProof/>
                <w:webHidden/>
              </w:rPr>
              <w:fldChar w:fldCharType="end"/>
            </w:r>
          </w:hyperlink>
        </w:p>
        <w:p w:rsidR="00B535EE" w:rsidRDefault="00163A91">
          <w:pPr>
            <w:pStyle w:val="Obsah2"/>
            <w:tabs>
              <w:tab w:val="left" w:pos="880"/>
              <w:tab w:val="right" w:leader="dot" w:pos="9062"/>
            </w:tabs>
            <w:rPr>
              <w:rFonts w:asciiTheme="minorHAnsi" w:eastAsiaTheme="minorEastAsia" w:hAnsiTheme="minorHAnsi"/>
              <w:noProof/>
              <w:sz w:val="22"/>
              <w:lang w:eastAsia="cs-CZ"/>
            </w:rPr>
          </w:pPr>
          <w:hyperlink w:anchor="_Toc31054443" w:history="1">
            <w:r w:rsidR="00B535EE" w:rsidRPr="00E87469">
              <w:rPr>
                <w:rStyle w:val="Hypertextovodkaz"/>
                <w:noProof/>
              </w:rPr>
              <w:t>1.1.</w:t>
            </w:r>
            <w:r w:rsidR="00B535EE">
              <w:rPr>
                <w:rFonts w:asciiTheme="minorHAnsi" w:eastAsiaTheme="minorEastAsia" w:hAnsiTheme="minorHAnsi"/>
                <w:noProof/>
                <w:sz w:val="22"/>
                <w:lang w:eastAsia="cs-CZ"/>
              </w:rPr>
              <w:tab/>
            </w:r>
            <w:r w:rsidR="00B535EE" w:rsidRPr="00E87469">
              <w:rPr>
                <w:rStyle w:val="Hypertextovodkaz"/>
                <w:noProof/>
              </w:rPr>
              <w:t>Zapojení jednotlivých členů</w:t>
            </w:r>
            <w:r w:rsidR="00B535EE">
              <w:rPr>
                <w:noProof/>
                <w:webHidden/>
              </w:rPr>
              <w:tab/>
            </w:r>
            <w:r>
              <w:rPr>
                <w:noProof/>
                <w:webHidden/>
              </w:rPr>
              <w:fldChar w:fldCharType="begin"/>
            </w:r>
            <w:r w:rsidR="00B535EE">
              <w:rPr>
                <w:noProof/>
                <w:webHidden/>
              </w:rPr>
              <w:instrText xml:space="preserve"> PAGEREF _Toc31054443 \h </w:instrText>
            </w:r>
            <w:r>
              <w:rPr>
                <w:noProof/>
                <w:webHidden/>
              </w:rPr>
            </w:r>
            <w:r>
              <w:rPr>
                <w:noProof/>
                <w:webHidden/>
              </w:rPr>
              <w:fldChar w:fldCharType="separate"/>
            </w:r>
            <w:r w:rsidR="00B535EE">
              <w:rPr>
                <w:noProof/>
                <w:webHidden/>
              </w:rPr>
              <w:t>8</w:t>
            </w:r>
            <w:r>
              <w:rPr>
                <w:noProof/>
                <w:webHidden/>
              </w:rPr>
              <w:fldChar w:fldCharType="end"/>
            </w:r>
          </w:hyperlink>
        </w:p>
        <w:p w:rsidR="00B535EE" w:rsidRDefault="00163A91">
          <w:pPr>
            <w:pStyle w:val="Obsah2"/>
            <w:tabs>
              <w:tab w:val="left" w:pos="880"/>
              <w:tab w:val="right" w:leader="dot" w:pos="9062"/>
            </w:tabs>
            <w:rPr>
              <w:rFonts w:asciiTheme="minorHAnsi" w:eastAsiaTheme="minorEastAsia" w:hAnsiTheme="minorHAnsi"/>
              <w:noProof/>
              <w:sz w:val="22"/>
              <w:lang w:eastAsia="cs-CZ"/>
            </w:rPr>
          </w:pPr>
          <w:hyperlink w:anchor="_Toc31054444" w:history="1">
            <w:r w:rsidR="00B535EE" w:rsidRPr="00E87469">
              <w:rPr>
                <w:rStyle w:val="Hypertextovodkaz"/>
                <w:noProof/>
              </w:rPr>
              <w:t>1.2.</w:t>
            </w:r>
            <w:r w:rsidR="00B535EE">
              <w:rPr>
                <w:rFonts w:asciiTheme="minorHAnsi" w:eastAsiaTheme="minorEastAsia" w:hAnsiTheme="minorHAnsi"/>
                <w:noProof/>
                <w:sz w:val="22"/>
                <w:lang w:eastAsia="cs-CZ"/>
              </w:rPr>
              <w:tab/>
            </w:r>
            <w:r w:rsidR="00B535EE" w:rsidRPr="00E87469">
              <w:rPr>
                <w:rStyle w:val="Hypertextovodkaz"/>
                <w:noProof/>
              </w:rPr>
              <w:t>Čerpání finančních prostředků</w:t>
            </w:r>
            <w:r w:rsidR="00B535EE">
              <w:rPr>
                <w:noProof/>
                <w:webHidden/>
              </w:rPr>
              <w:tab/>
            </w:r>
            <w:r>
              <w:rPr>
                <w:noProof/>
                <w:webHidden/>
              </w:rPr>
              <w:fldChar w:fldCharType="begin"/>
            </w:r>
            <w:r w:rsidR="00B535EE">
              <w:rPr>
                <w:noProof/>
                <w:webHidden/>
              </w:rPr>
              <w:instrText xml:space="preserve"> PAGEREF _Toc31054444 \h </w:instrText>
            </w:r>
            <w:r>
              <w:rPr>
                <w:noProof/>
                <w:webHidden/>
              </w:rPr>
            </w:r>
            <w:r>
              <w:rPr>
                <w:noProof/>
                <w:webHidden/>
              </w:rPr>
              <w:fldChar w:fldCharType="separate"/>
            </w:r>
            <w:r w:rsidR="00B535EE">
              <w:rPr>
                <w:noProof/>
                <w:webHidden/>
              </w:rPr>
              <w:t>8</w:t>
            </w:r>
            <w:r>
              <w:rPr>
                <w:noProof/>
                <w:webHidden/>
              </w:rPr>
              <w:fldChar w:fldCharType="end"/>
            </w:r>
          </w:hyperlink>
        </w:p>
        <w:p w:rsidR="00B535EE" w:rsidRDefault="00163A91">
          <w:pPr>
            <w:pStyle w:val="Obsah2"/>
            <w:tabs>
              <w:tab w:val="left" w:pos="880"/>
              <w:tab w:val="right" w:leader="dot" w:pos="9062"/>
            </w:tabs>
            <w:rPr>
              <w:rFonts w:asciiTheme="minorHAnsi" w:eastAsiaTheme="minorEastAsia" w:hAnsiTheme="minorHAnsi"/>
              <w:noProof/>
              <w:sz w:val="22"/>
              <w:lang w:eastAsia="cs-CZ"/>
            </w:rPr>
          </w:pPr>
          <w:hyperlink w:anchor="_Toc31054445" w:history="1">
            <w:r w:rsidR="00B535EE" w:rsidRPr="00E87469">
              <w:rPr>
                <w:rStyle w:val="Hypertextovodkaz"/>
                <w:noProof/>
              </w:rPr>
              <w:t>1.3.</w:t>
            </w:r>
            <w:r w:rsidR="00B535EE">
              <w:rPr>
                <w:rFonts w:asciiTheme="minorHAnsi" w:eastAsiaTheme="minorEastAsia" w:hAnsiTheme="minorHAnsi"/>
                <w:noProof/>
                <w:sz w:val="22"/>
                <w:lang w:eastAsia="cs-CZ"/>
              </w:rPr>
              <w:tab/>
            </w:r>
            <w:r w:rsidR="00B535EE" w:rsidRPr="00E87469">
              <w:rPr>
                <w:rStyle w:val="Hypertextovodkaz"/>
                <w:noProof/>
              </w:rPr>
              <w:t>Naplňování programu Éta</w:t>
            </w:r>
            <w:r w:rsidR="00B535EE">
              <w:rPr>
                <w:noProof/>
                <w:webHidden/>
              </w:rPr>
              <w:tab/>
            </w:r>
            <w:r>
              <w:rPr>
                <w:noProof/>
                <w:webHidden/>
              </w:rPr>
              <w:fldChar w:fldCharType="begin"/>
            </w:r>
            <w:r w:rsidR="00B535EE">
              <w:rPr>
                <w:noProof/>
                <w:webHidden/>
              </w:rPr>
              <w:instrText xml:space="preserve"> PAGEREF _Toc31054445 \h </w:instrText>
            </w:r>
            <w:r>
              <w:rPr>
                <w:noProof/>
                <w:webHidden/>
              </w:rPr>
            </w:r>
            <w:r>
              <w:rPr>
                <w:noProof/>
                <w:webHidden/>
              </w:rPr>
              <w:fldChar w:fldCharType="separate"/>
            </w:r>
            <w:r w:rsidR="00B535EE">
              <w:rPr>
                <w:noProof/>
                <w:webHidden/>
              </w:rPr>
              <w:t>8</w:t>
            </w:r>
            <w:r>
              <w:rPr>
                <w:noProof/>
                <w:webHidden/>
              </w:rPr>
              <w:fldChar w:fldCharType="end"/>
            </w:r>
          </w:hyperlink>
        </w:p>
        <w:p w:rsidR="00B535EE" w:rsidRDefault="00163A91">
          <w:pPr>
            <w:pStyle w:val="Obsah1"/>
            <w:tabs>
              <w:tab w:val="left" w:pos="440"/>
              <w:tab w:val="right" w:leader="dot" w:pos="9062"/>
            </w:tabs>
            <w:rPr>
              <w:rFonts w:asciiTheme="minorHAnsi" w:eastAsiaTheme="minorEastAsia" w:hAnsiTheme="minorHAnsi"/>
              <w:noProof/>
              <w:sz w:val="22"/>
              <w:lang w:eastAsia="cs-CZ"/>
            </w:rPr>
          </w:pPr>
          <w:hyperlink w:anchor="_Toc31054446" w:history="1">
            <w:r w:rsidR="00B535EE" w:rsidRPr="00E87469">
              <w:rPr>
                <w:rStyle w:val="Hypertextovodkaz"/>
                <w:noProof/>
              </w:rPr>
              <w:t>2.</w:t>
            </w:r>
            <w:r w:rsidR="00B535EE">
              <w:rPr>
                <w:rFonts w:asciiTheme="minorHAnsi" w:eastAsiaTheme="minorEastAsia" w:hAnsiTheme="minorHAnsi"/>
                <w:noProof/>
                <w:sz w:val="22"/>
                <w:lang w:eastAsia="cs-CZ"/>
              </w:rPr>
              <w:tab/>
            </w:r>
            <w:r w:rsidR="00B535EE" w:rsidRPr="00E87469">
              <w:rPr>
                <w:rStyle w:val="Hypertextovodkaz"/>
                <w:noProof/>
              </w:rPr>
              <w:t>VÝSLEDKY JEDNOTLIVÝCH ČINNOSTÍ</w:t>
            </w:r>
            <w:r w:rsidR="00B535EE">
              <w:rPr>
                <w:noProof/>
                <w:webHidden/>
              </w:rPr>
              <w:tab/>
            </w:r>
            <w:r>
              <w:rPr>
                <w:noProof/>
                <w:webHidden/>
              </w:rPr>
              <w:fldChar w:fldCharType="begin"/>
            </w:r>
            <w:r w:rsidR="00B535EE">
              <w:rPr>
                <w:noProof/>
                <w:webHidden/>
              </w:rPr>
              <w:instrText xml:space="preserve"> PAGEREF _Toc31054446 \h </w:instrText>
            </w:r>
            <w:r>
              <w:rPr>
                <w:noProof/>
                <w:webHidden/>
              </w:rPr>
            </w:r>
            <w:r>
              <w:rPr>
                <w:noProof/>
                <w:webHidden/>
              </w:rPr>
              <w:fldChar w:fldCharType="separate"/>
            </w:r>
            <w:r w:rsidR="00B535EE">
              <w:rPr>
                <w:noProof/>
                <w:webHidden/>
              </w:rPr>
              <w:t>10</w:t>
            </w:r>
            <w:r>
              <w:rPr>
                <w:noProof/>
                <w:webHidden/>
              </w:rPr>
              <w:fldChar w:fldCharType="end"/>
            </w:r>
          </w:hyperlink>
        </w:p>
        <w:p w:rsidR="00B535EE" w:rsidRDefault="00163A91">
          <w:pPr>
            <w:pStyle w:val="Obsah2"/>
            <w:tabs>
              <w:tab w:val="left" w:pos="880"/>
              <w:tab w:val="right" w:leader="dot" w:pos="9062"/>
            </w:tabs>
            <w:rPr>
              <w:rFonts w:asciiTheme="minorHAnsi" w:eastAsiaTheme="minorEastAsia" w:hAnsiTheme="minorHAnsi"/>
              <w:noProof/>
              <w:sz w:val="22"/>
              <w:lang w:eastAsia="cs-CZ"/>
            </w:rPr>
          </w:pPr>
          <w:hyperlink w:anchor="_Toc31054447" w:history="1">
            <w:r w:rsidR="00B535EE" w:rsidRPr="00E87469">
              <w:rPr>
                <w:rStyle w:val="Hypertextovodkaz"/>
                <w:noProof/>
              </w:rPr>
              <w:t>2.1.</w:t>
            </w:r>
            <w:r w:rsidR="00B535EE">
              <w:rPr>
                <w:rFonts w:asciiTheme="minorHAnsi" w:eastAsiaTheme="minorEastAsia" w:hAnsiTheme="minorHAnsi"/>
                <w:noProof/>
                <w:sz w:val="22"/>
                <w:lang w:eastAsia="cs-CZ"/>
              </w:rPr>
              <w:tab/>
            </w:r>
            <w:r w:rsidR="00B535EE" w:rsidRPr="00E87469">
              <w:rPr>
                <w:rStyle w:val="Hypertextovodkaz"/>
                <w:noProof/>
              </w:rPr>
              <w:t>Finanční charakteristiky podniků před vyhlášením moratoria</w:t>
            </w:r>
            <w:r w:rsidR="00B535EE">
              <w:rPr>
                <w:noProof/>
                <w:webHidden/>
              </w:rPr>
              <w:tab/>
            </w:r>
            <w:r>
              <w:rPr>
                <w:noProof/>
                <w:webHidden/>
              </w:rPr>
              <w:fldChar w:fldCharType="begin"/>
            </w:r>
            <w:r w:rsidR="00B535EE">
              <w:rPr>
                <w:noProof/>
                <w:webHidden/>
              </w:rPr>
              <w:instrText xml:space="preserve"> PAGEREF _Toc31054447 \h </w:instrText>
            </w:r>
            <w:r>
              <w:rPr>
                <w:noProof/>
                <w:webHidden/>
              </w:rPr>
            </w:r>
            <w:r>
              <w:rPr>
                <w:noProof/>
                <w:webHidden/>
              </w:rPr>
              <w:fldChar w:fldCharType="separate"/>
            </w:r>
            <w:r w:rsidR="00B535EE">
              <w:rPr>
                <w:noProof/>
                <w:webHidden/>
              </w:rPr>
              <w:t>10</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48" w:history="1">
            <w:r w:rsidR="00B535EE" w:rsidRPr="00E87469">
              <w:rPr>
                <w:rStyle w:val="Hypertextovodkaz"/>
                <w:noProof/>
              </w:rPr>
              <w:t>2.1.1.</w:t>
            </w:r>
            <w:r w:rsidR="00B535EE">
              <w:rPr>
                <w:rFonts w:asciiTheme="minorHAnsi" w:eastAsiaTheme="minorEastAsia" w:hAnsiTheme="minorHAnsi"/>
                <w:noProof/>
                <w:sz w:val="22"/>
                <w:lang w:eastAsia="cs-CZ"/>
              </w:rPr>
              <w:tab/>
            </w:r>
            <w:r w:rsidR="00B535EE" w:rsidRPr="00E87469">
              <w:rPr>
                <w:rStyle w:val="Hypertextovodkaz"/>
                <w:noProof/>
              </w:rPr>
              <w:t>Datový soubor</w:t>
            </w:r>
            <w:r w:rsidR="00B535EE">
              <w:rPr>
                <w:noProof/>
                <w:webHidden/>
              </w:rPr>
              <w:tab/>
            </w:r>
            <w:r>
              <w:rPr>
                <w:noProof/>
                <w:webHidden/>
              </w:rPr>
              <w:fldChar w:fldCharType="begin"/>
            </w:r>
            <w:r w:rsidR="00B535EE">
              <w:rPr>
                <w:noProof/>
                <w:webHidden/>
              </w:rPr>
              <w:instrText xml:space="preserve"> PAGEREF _Toc31054448 \h </w:instrText>
            </w:r>
            <w:r>
              <w:rPr>
                <w:noProof/>
                <w:webHidden/>
              </w:rPr>
            </w:r>
            <w:r>
              <w:rPr>
                <w:noProof/>
                <w:webHidden/>
              </w:rPr>
              <w:fldChar w:fldCharType="separate"/>
            </w:r>
            <w:r w:rsidR="00B535EE">
              <w:rPr>
                <w:noProof/>
                <w:webHidden/>
              </w:rPr>
              <w:t>11</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49" w:history="1">
            <w:r w:rsidR="00B535EE" w:rsidRPr="00E87469">
              <w:rPr>
                <w:rStyle w:val="Hypertextovodkaz"/>
                <w:noProof/>
              </w:rPr>
              <w:t>2.1.2.</w:t>
            </w:r>
            <w:r w:rsidR="00B535EE">
              <w:rPr>
                <w:rFonts w:asciiTheme="minorHAnsi" w:eastAsiaTheme="minorEastAsia" w:hAnsiTheme="minorHAnsi"/>
                <w:noProof/>
                <w:sz w:val="22"/>
                <w:lang w:eastAsia="cs-CZ"/>
              </w:rPr>
              <w:tab/>
            </w:r>
            <w:r w:rsidR="00B535EE" w:rsidRPr="00E87469">
              <w:rPr>
                <w:rStyle w:val="Hypertextovodkaz"/>
                <w:noProof/>
              </w:rPr>
              <w:t>Použité metody</w:t>
            </w:r>
            <w:r w:rsidR="00B535EE">
              <w:rPr>
                <w:noProof/>
                <w:webHidden/>
              </w:rPr>
              <w:tab/>
            </w:r>
            <w:r>
              <w:rPr>
                <w:noProof/>
                <w:webHidden/>
              </w:rPr>
              <w:fldChar w:fldCharType="begin"/>
            </w:r>
            <w:r w:rsidR="00B535EE">
              <w:rPr>
                <w:noProof/>
                <w:webHidden/>
              </w:rPr>
              <w:instrText xml:space="preserve"> PAGEREF _Toc31054449 \h </w:instrText>
            </w:r>
            <w:r>
              <w:rPr>
                <w:noProof/>
                <w:webHidden/>
              </w:rPr>
            </w:r>
            <w:r>
              <w:rPr>
                <w:noProof/>
                <w:webHidden/>
              </w:rPr>
              <w:fldChar w:fldCharType="separate"/>
            </w:r>
            <w:r w:rsidR="00B535EE">
              <w:rPr>
                <w:noProof/>
                <w:webHidden/>
              </w:rPr>
              <w:t>14</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50" w:history="1">
            <w:r w:rsidR="00B535EE" w:rsidRPr="00E87469">
              <w:rPr>
                <w:rStyle w:val="Hypertextovodkaz"/>
                <w:noProof/>
              </w:rPr>
              <w:t>2.1.3.</w:t>
            </w:r>
            <w:r w:rsidR="00B535EE">
              <w:rPr>
                <w:rFonts w:asciiTheme="minorHAnsi" w:eastAsiaTheme="minorEastAsia" w:hAnsiTheme="minorHAnsi"/>
                <w:noProof/>
                <w:sz w:val="22"/>
                <w:lang w:eastAsia="cs-CZ"/>
              </w:rPr>
              <w:tab/>
            </w:r>
            <w:r w:rsidR="00B535EE" w:rsidRPr="00E87469">
              <w:rPr>
                <w:rStyle w:val="Hypertextovodkaz"/>
                <w:noProof/>
              </w:rPr>
              <w:t>Výsledky analýzy</w:t>
            </w:r>
            <w:r w:rsidR="00B535EE">
              <w:rPr>
                <w:noProof/>
                <w:webHidden/>
              </w:rPr>
              <w:tab/>
            </w:r>
            <w:r>
              <w:rPr>
                <w:noProof/>
                <w:webHidden/>
              </w:rPr>
              <w:fldChar w:fldCharType="begin"/>
            </w:r>
            <w:r w:rsidR="00B535EE">
              <w:rPr>
                <w:noProof/>
                <w:webHidden/>
              </w:rPr>
              <w:instrText xml:space="preserve"> PAGEREF _Toc31054450 \h </w:instrText>
            </w:r>
            <w:r>
              <w:rPr>
                <w:noProof/>
                <w:webHidden/>
              </w:rPr>
            </w:r>
            <w:r>
              <w:rPr>
                <w:noProof/>
                <w:webHidden/>
              </w:rPr>
              <w:fldChar w:fldCharType="separate"/>
            </w:r>
            <w:r w:rsidR="00B535EE">
              <w:rPr>
                <w:noProof/>
                <w:webHidden/>
              </w:rPr>
              <w:t>15</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51" w:history="1">
            <w:r w:rsidR="00B535EE" w:rsidRPr="00E87469">
              <w:rPr>
                <w:rStyle w:val="Hypertextovodkaz"/>
                <w:noProof/>
              </w:rPr>
              <w:t>2.1.4.</w:t>
            </w:r>
            <w:r w:rsidR="00B535EE">
              <w:rPr>
                <w:rFonts w:asciiTheme="minorHAnsi" w:eastAsiaTheme="minorEastAsia" w:hAnsiTheme="minorHAnsi"/>
                <w:noProof/>
                <w:sz w:val="22"/>
                <w:lang w:eastAsia="cs-CZ"/>
              </w:rPr>
              <w:tab/>
            </w:r>
            <w:r w:rsidR="00B535EE" w:rsidRPr="00E87469">
              <w:rPr>
                <w:rStyle w:val="Hypertextovodkaz"/>
                <w:noProof/>
              </w:rPr>
              <w:t>Analýza jednotlivých proměnných</w:t>
            </w:r>
            <w:r w:rsidR="00B535EE">
              <w:rPr>
                <w:noProof/>
                <w:webHidden/>
              </w:rPr>
              <w:tab/>
            </w:r>
            <w:r>
              <w:rPr>
                <w:noProof/>
                <w:webHidden/>
              </w:rPr>
              <w:fldChar w:fldCharType="begin"/>
            </w:r>
            <w:r w:rsidR="00B535EE">
              <w:rPr>
                <w:noProof/>
                <w:webHidden/>
              </w:rPr>
              <w:instrText xml:space="preserve"> PAGEREF _Toc31054451 \h </w:instrText>
            </w:r>
            <w:r>
              <w:rPr>
                <w:noProof/>
                <w:webHidden/>
              </w:rPr>
            </w:r>
            <w:r>
              <w:rPr>
                <w:noProof/>
                <w:webHidden/>
              </w:rPr>
              <w:fldChar w:fldCharType="separate"/>
            </w:r>
            <w:r w:rsidR="00B535EE">
              <w:rPr>
                <w:noProof/>
                <w:webHidden/>
              </w:rPr>
              <w:t>15</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52" w:history="1">
            <w:r w:rsidR="00B535EE" w:rsidRPr="00E87469">
              <w:rPr>
                <w:rStyle w:val="Hypertextovodkaz"/>
                <w:noProof/>
              </w:rPr>
              <w:t>2.1.5.</w:t>
            </w:r>
            <w:r w:rsidR="00B535EE">
              <w:rPr>
                <w:rFonts w:asciiTheme="minorHAnsi" w:eastAsiaTheme="minorEastAsia" w:hAnsiTheme="minorHAnsi"/>
                <w:noProof/>
                <w:sz w:val="22"/>
                <w:lang w:eastAsia="cs-CZ"/>
              </w:rPr>
              <w:tab/>
            </w:r>
            <w:r w:rsidR="00B535EE" w:rsidRPr="00E87469">
              <w:rPr>
                <w:rStyle w:val="Hypertextovodkaz"/>
                <w:noProof/>
              </w:rPr>
              <w:t>Syntetické ukazatele</w:t>
            </w:r>
            <w:r w:rsidR="00B535EE">
              <w:rPr>
                <w:noProof/>
                <w:webHidden/>
              </w:rPr>
              <w:tab/>
            </w:r>
            <w:r>
              <w:rPr>
                <w:noProof/>
                <w:webHidden/>
              </w:rPr>
              <w:fldChar w:fldCharType="begin"/>
            </w:r>
            <w:r w:rsidR="00B535EE">
              <w:rPr>
                <w:noProof/>
                <w:webHidden/>
              </w:rPr>
              <w:instrText xml:space="preserve"> PAGEREF _Toc31054452 \h </w:instrText>
            </w:r>
            <w:r>
              <w:rPr>
                <w:noProof/>
                <w:webHidden/>
              </w:rPr>
            </w:r>
            <w:r>
              <w:rPr>
                <w:noProof/>
                <w:webHidden/>
              </w:rPr>
              <w:fldChar w:fldCharType="separate"/>
            </w:r>
            <w:r w:rsidR="00B535EE">
              <w:rPr>
                <w:noProof/>
                <w:webHidden/>
              </w:rPr>
              <w:t>18</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53" w:history="1">
            <w:r w:rsidR="00B535EE" w:rsidRPr="00E87469">
              <w:rPr>
                <w:rStyle w:val="Hypertextovodkaz"/>
                <w:noProof/>
              </w:rPr>
              <w:t>2.1.6.</w:t>
            </w:r>
            <w:r w:rsidR="00B535EE">
              <w:rPr>
                <w:rFonts w:asciiTheme="minorHAnsi" w:eastAsiaTheme="minorEastAsia" w:hAnsiTheme="minorHAnsi"/>
                <w:noProof/>
                <w:sz w:val="22"/>
                <w:lang w:eastAsia="cs-CZ"/>
              </w:rPr>
              <w:tab/>
            </w:r>
            <w:r w:rsidR="00B535EE" w:rsidRPr="00E87469">
              <w:rPr>
                <w:rStyle w:val="Hypertextovodkaz"/>
                <w:noProof/>
              </w:rPr>
              <w:t>Analýza indikátorů úpadku</w:t>
            </w:r>
            <w:r w:rsidR="00B535EE">
              <w:rPr>
                <w:noProof/>
                <w:webHidden/>
              </w:rPr>
              <w:tab/>
            </w:r>
            <w:r>
              <w:rPr>
                <w:noProof/>
                <w:webHidden/>
              </w:rPr>
              <w:fldChar w:fldCharType="begin"/>
            </w:r>
            <w:r w:rsidR="00B535EE">
              <w:rPr>
                <w:noProof/>
                <w:webHidden/>
              </w:rPr>
              <w:instrText xml:space="preserve"> PAGEREF _Toc31054453 \h </w:instrText>
            </w:r>
            <w:r>
              <w:rPr>
                <w:noProof/>
                <w:webHidden/>
              </w:rPr>
            </w:r>
            <w:r>
              <w:rPr>
                <w:noProof/>
                <w:webHidden/>
              </w:rPr>
              <w:fldChar w:fldCharType="separate"/>
            </w:r>
            <w:r w:rsidR="00B535EE">
              <w:rPr>
                <w:noProof/>
                <w:webHidden/>
              </w:rPr>
              <w:t>21</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54" w:history="1">
            <w:r w:rsidR="00B535EE" w:rsidRPr="00E87469">
              <w:rPr>
                <w:rStyle w:val="Hypertextovodkaz"/>
                <w:noProof/>
              </w:rPr>
              <w:t>2.1.7.</w:t>
            </w:r>
            <w:r w:rsidR="00B535EE">
              <w:rPr>
                <w:rFonts w:asciiTheme="minorHAnsi" w:eastAsiaTheme="minorEastAsia" w:hAnsiTheme="minorHAnsi"/>
                <w:noProof/>
                <w:sz w:val="22"/>
                <w:lang w:eastAsia="cs-CZ"/>
              </w:rPr>
              <w:tab/>
            </w:r>
            <w:r w:rsidR="00B535EE" w:rsidRPr="00E87469">
              <w:rPr>
                <w:rStyle w:val="Hypertextovodkaz"/>
                <w:noProof/>
              </w:rPr>
              <w:t>Závěr</w:t>
            </w:r>
            <w:r w:rsidR="00B535EE">
              <w:rPr>
                <w:noProof/>
                <w:webHidden/>
              </w:rPr>
              <w:tab/>
            </w:r>
            <w:r>
              <w:rPr>
                <w:noProof/>
                <w:webHidden/>
              </w:rPr>
              <w:fldChar w:fldCharType="begin"/>
            </w:r>
            <w:r w:rsidR="00B535EE">
              <w:rPr>
                <w:noProof/>
                <w:webHidden/>
              </w:rPr>
              <w:instrText xml:space="preserve"> PAGEREF _Toc31054454 \h </w:instrText>
            </w:r>
            <w:r>
              <w:rPr>
                <w:noProof/>
                <w:webHidden/>
              </w:rPr>
            </w:r>
            <w:r>
              <w:rPr>
                <w:noProof/>
                <w:webHidden/>
              </w:rPr>
              <w:fldChar w:fldCharType="separate"/>
            </w:r>
            <w:r w:rsidR="00B535EE">
              <w:rPr>
                <w:noProof/>
                <w:webHidden/>
              </w:rPr>
              <w:t>24</w:t>
            </w:r>
            <w:r>
              <w:rPr>
                <w:noProof/>
                <w:webHidden/>
              </w:rPr>
              <w:fldChar w:fldCharType="end"/>
            </w:r>
          </w:hyperlink>
        </w:p>
        <w:p w:rsidR="00B535EE" w:rsidRDefault="00163A91">
          <w:pPr>
            <w:pStyle w:val="Obsah2"/>
            <w:tabs>
              <w:tab w:val="left" w:pos="880"/>
              <w:tab w:val="right" w:leader="dot" w:pos="9062"/>
            </w:tabs>
            <w:rPr>
              <w:rFonts w:asciiTheme="minorHAnsi" w:eastAsiaTheme="minorEastAsia" w:hAnsiTheme="minorHAnsi"/>
              <w:noProof/>
              <w:sz w:val="22"/>
              <w:lang w:eastAsia="cs-CZ"/>
            </w:rPr>
          </w:pPr>
          <w:hyperlink w:anchor="_Toc31054455" w:history="1">
            <w:r w:rsidR="00B535EE" w:rsidRPr="00E87469">
              <w:rPr>
                <w:rStyle w:val="Hypertextovodkaz"/>
                <w:rFonts w:cs="Times New Roman"/>
                <w:noProof/>
              </w:rPr>
              <w:t>2.2.</w:t>
            </w:r>
            <w:r w:rsidR="00B535EE">
              <w:rPr>
                <w:rFonts w:asciiTheme="minorHAnsi" w:eastAsiaTheme="minorEastAsia" w:hAnsiTheme="minorHAnsi"/>
                <w:noProof/>
                <w:sz w:val="22"/>
                <w:lang w:eastAsia="cs-CZ"/>
              </w:rPr>
              <w:tab/>
            </w:r>
            <w:r w:rsidR="00B535EE" w:rsidRPr="00E87469">
              <w:rPr>
                <w:rStyle w:val="Hypertextovodkaz"/>
                <w:rFonts w:cs="Times New Roman"/>
                <w:noProof/>
              </w:rPr>
              <w:t>Finanční charakteristiky podniků v moratoriu</w:t>
            </w:r>
            <w:r w:rsidR="00B535EE">
              <w:rPr>
                <w:noProof/>
                <w:webHidden/>
              </w:rPr>
              <w:tab/>
            </w:r>
            <w:r>
              <w:rPr>
                <w:noProof/>
                <w:webHidden/>
              </w:rPr>
              <w:fldChar w:fldCharType="begin"/>
            </w:r>
            <w:r w:rsidR="00B535EE">
              <w:rPr>
                <w:noProof/>
                <w:webHidden/>
              </w:rPr>
              <w:instrText xml:space="preserve"> PAGEREF _Toc31054455 \h </w:instrText>
            </w:r>
            <w:r>
              <w:rPr>
                <w:noProof/>
                <w:webHidden/>
              </w:rPr>
            </w:r>
            <w:r>
              <w:rPr>
                <w:noProof/>
                <w:webHidden/>
              </w:rPr>
              <w:fldChar w:fldCharType="separate"/>
            </w:r>
            <w:r w:rsidR="00B535EE">
              <w:rPr>
                <w:noProof/>
                <w:webHidden/>
              </w:rPr>
              <w:t>26</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56" w:history="1">
            <w:r w:rsidR="00B535EE" w:rsidRPr="00E87469">
              <w:rPr>
                <w:rStyle w:val="Hypertextovodkaz"/>
                <w:noProof/>
              </w:rPr>
              <w:t>2.2.1.</w:t>
            </w:r>
            <w:r w:rsidR="00B535EE">
              <w:rPr>
                <w:rFonts w:asciiTheme="minorHAnsi" w:eastAsiaTheme="minorEastAsia" w:hAnsiTheme="minorHAnsi"/>
                <w:noProof/>
                <w:sz w:val="22"/>
                <w:lang w:eastAsia="cs-CZ"/>
              </w:rPr>
              <w:tab/>
            </w:r>
            <w:r w:rsidR="00B535EE" w:rsidRPr="00E87469">
              <w:rPr>
                <w:rStyle w:val="Hypertextovodkaz"/>
                <w:noProof/>
              </w:rPr>
              <w:t>Datový soubor</w:t>
            </w:r>
            <w:r w:rsidR="00B535EE">
              <w:rPr>
                <w:noProof/>
                <w:webHidden/>
              </w:rPr>
              <w:tab/>
            </w:r>
            <w:r>
              <w:rPr>
                <w:noProof/>
                <w:webHidden/>
              </w:rPr>
              <w:fldChar w:fldCharType="begin"/>
            </w:r>
            <w:r w:rsidR="00B535EE">
              <w:rPr>
                <w:noProof/>
                <w:webHidden/>
              </w:rPr>
              <w:instrText xml:space="preserve"> PAGEREF _Toc31054456 \h </w:instrText>
            </w:r>
            <w:r>
              <w:rPr>
                <w:noProof/>
                <w:webHidden/>
              </w:rPr>
            </w:r>
            <w:r>
              <w:rPr>
                <w:noProof/>
                <w:webHidden/>
              </w:rPr>
              <w:fldChar w:fldCharType="separate"/>
            </w:r>
            <w:r w:rsidR="00B535EE">
              <w:rPr>
                <w:noProof/>
                <w:webHidden/>
              </w:rPr>
              <w:t>26</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57" w:history="1">
            <w:r w:rsidR="00B535EE" w:rsidRPr="00E87469">
              <w:rPr>
                <w:rStyle w:val="Hypertextovodkaz"/>
                <w:noProof/>
              </w:rPr>
              <w:t>2.2.2.</w:t>
            </w:r>
            <w:r w:rsidR="00B535EE">
              <w:rPr>
                <w:rFonts w:asciiTheme="minorHAnsi" w:eastAsiaTheme="minorEastAsia" w:hAnsiTheme="minorHAnsi"/>
                <w:noProof/>
                <w:sz w:val="22"/>
                <w:lang w:eastAsia="cs-CZ"/>
              </w:rPr>
              <w:tab/>
            </w:r>
            <w:r w:rsidR="00B535EE" w:rsidRPr="00E87469">
              <w:rPr>
                <w:rStyle w:val="Hypertextovodkaz"/>
                <w:noProof/>
              </w:rPr>
              <w:t>Použité metody</w:t>
            </w:r>
            <w:r w:rsidR="00B535EE">
              <w:rPr>
                <w:noProof/>
                <w:webHidden/>
              </w:rPr>
              <w:tab/>
            </w:r>
            <w:r>
              <w:rPr>
                <w:noProof/>
                <w:webHidden/>
              </w:rPr>
              <w:fldChar w:fldCharType="begin"/>
            </w:r>
            <w:r w:rsidR="00B535EE">
              <w:rPr>
                <w:noProof/>
                <w:webHidden/>
              </w:rPr>
              <w:instrText xml:space="preserve"> PAGEREF _Toc31054457 \h </w:instrText>
            </w:r>
            <w:r>
              <w:rPr>
                <w:noProof/>
                <w:webHidden/>
              </w:rPr>
            </w:r>
            <w:r>
              <w:rPr>
                <w:noProof/>
                <w:webHidden/>
              </w:rPr>
              <w:fldChar w:fldCharType="separate"/>
            </w:r>
            <w:r w:rsidR="00B535EE">
              <w:rPr>
                <w:noProof/>
                <w:webHidden/>
              </w:rPr>
              <w:t>27</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58" w:history="1">
            <w:r w:rsidR="00B535EE" w:rsidRPr="00E87469">
              <w:rPr>
                <w:rStyle w:val="Hypertextovodkaz"/>
                <w:noProof/>
              </w:rPr>
              <w:t>2.2.3.</w:t>
            </w:r>
            <w:r w:rsidR="00B535EE">
              <w:rPr>
                <w:rFonts w:asciiTheme="minorHAnsi" w:eastAsiaTheme="minorEastAsia" w:hAnsiTheme="minorHAnsi"/>
                <w:noProof/>
                <w:sz w:val="22"/>
                <w:lang w:eastAsia="cs-CZ"/>
              </w:rPr>
              <w:tab/>
            </w:r>
            <w:r w:rsidR="00B535EE" w:rsidRPr="00E87469">
              <w:rPr>
                <w:rStyle w:val="Hypertextovodkaz"/>
                <w:noProof/>
              </w:rPr>
              <w:t>Výsledky analýzy</w:t>
            </w:r>
            <w:r w:rsidR="00B535EE">
              <w:rPr>
                <w:noProof/>
                <w:webHidden/>
              </w:rPr>
              <w:tab/>
            </w:r>
            <w:r>
              <w:rPr>
                <w:noProof/>
                <w:webHidden/>
              </w:rPr>
              <w:fldChar w:fldCharType="begin"/>
            </w:r>
            <w:r w:rsidR="00B535EE">
              <w:rPr>
                <w:noProof/>
                <w:webHidden/>
              </w:rPr>
              <w:instrText xml:space="preserve"> PAGEREF _Toc31054458 \h </w:instrText>
            </w:r>
            <w:r>
              <w:rPr>
                <w:noProof/>
                <w:webHidden/>
              </w:rPr>
            </w:r>
            <w:r>
              <w:rPr>
                <w:noProof/>
                <w:webHidden/>
              </w:rPr>
              <w:fldChar w:fldCharType="separate"/>
            </w:r>
            <w:r w:rsidR="00B535EE">
              <w:rPr>
                <w:noProof/>
                <w:webHidden/>
              </w:rPr>
              <w:t>31</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59" w:history="1">
            <w:r w:rsidR="00B535EE" w:rsidRPr="00E87469">
              <w:rPr>
                <w:rStyle w:val="Hypertextovodkaz"/>
                <w:noProof/>
              </w:rPr>
              <w:t>2.2.4.</w:t>
            </w:r>
            <w:r w:rsidR="00B535EE">
              <w:rPr>
                <w:rFonts w:asciiTheme="minorHAnsi" w:eastAsiaTheme="minorEastAsia" w:hAnsiTheme="minorHAnsi"/>
                <w:noProof/>
                <w:sz w:val="22"/>
                <w:lang w:eastAsia="cs-CZ"/>
              </w:rPr>
              <w:tab/>
            </w:r>
            <w:r w:rsidR="00B535EE" w:rsidRPr="00E87469">
              <w:rPr>
                <w:rStyle w:val="Hypertextovodkaz"/>
                <w:noProof/>
              </w:rPr>
              <w:t>Závěr</w:t>
            </w:r>
            <w:r w:rsidR="00B535EE">
              <w:rPr>
                <w:noProof/>
                <w:webHidden/>
              </w:rPr>
              <w:tab/>
            </w:r>
            <w:r>
              <w:rPr>
                <w:noProof/>
                <w:webHidden/>
              </w:rPr>
              <w:fldChar w:fldCharType="begin"/>
            </w:r>
            <w:r w:rsidR="00B535EE">
              <w:rPr>
                <w:noProof/>
                <w:webHidden/>
              </w:rPr>
              <w:instrText xml:space="preserve"> PAGEREF _Toc31054459 \h </w:instrText>
            </w:r>
            <w:r>
              <w:rPr>
                <w:noProof/>
                <w:webHidden/>
              </w:rPr>
            </w:r>
            <w:r>
              <w:rPr>
                <w:noProof/>
                <w:webHidden/>
              </w:rPr>
              <w:fldChar w:fldCharType="separate"/>
            </w:r>
            <w:r w:rsidR="00B535EE">
              <w:rPr>
                <w:noProof/>
                <w:webHidden/>
              </w:rPr>
              <w:t>38</w:t>
            </w:r>
            <w:r>
              <w:rPr>
                <w:noProof/>
                <w:webHidden/>
              </w:rPr>
              <w:fldChar w:fldCharType="end"/>
            </w:r>
          </w:hyperlink>
        </w:p>
        <w:p w:rsidR="00B535EE" w:rsidRDefault="00163A91">
          <w:pPr>
            <w:pStyle w:val="Obsah2"/>
            <w:tabs>
              <w:tab w:val="left" w:pos="880"/>
              <w:tab w:val="right" w:leader="dot" w:pos="9062"/>
            </w:tabs>
            <w:rPr>
              <w:rFonts w:asciiTheme="minorHAnsi" w:eastAsiaTheme="minorEastAsia" w:hAnsiTheme="minorHAnsi"/>
              <w:noProof/>
              <w:sz w:val="22"/>
              <w:lang w:eastAsia="cs-CZ"/>
            </w:rPr>
          </w:pPr>
          <w:hyperlink w:anchor="_Toc31054460" w:history="1">
            <w:r w:rsidR="00B535EE" w:rsidRPr="00E87469">
              <w:rPr>
                <w:rStyle w:val="Hypertextovodkaz"/>
                <w:noProof/>
              </w:rPr>
              <w:t>2.3.</w:t>
            </w:r>
            <w:r w:rsidR="00B535EE">
              <w:rPr>
                <w:rFonts w:asciiTheme="minorHAnsi" w:eastAsiaTheme="minorEastAsia" w:hAnsiTheme="minorHAnsi"/>
                <w:noProof/>
                <w:sz w:val="22"/>
                <w:lang w:eastAsia="cs-CZ"/>
              </w:rPr>
              <w:tab/>
            </w:r>
            <w:r w:rsidR="00B535EE" w:rsidRPr="00E87469">
              <w:rPr>
                <w:rStyle w:val="Hypertextovodkaz"/>
                <w:rFonts w:cs="Times New Roman"/>
                <w:noProof/>
              </w:rPr>
              <w:t>Finanční charakteristiky podniků, jejichž sanace byla řešena tzv. předbalenou reorganizací</w:t>
            </w:r>
            <w:r w:rsidR="00B535EE">
              <w:rPr>
                <w:noProof/>
                <w:webHidden/>
              </w:rPr>
              <w:tab/>
            </w:r>
            <w:r>
              <w:rPr>
                <w:noProof/>
                <w:webHidden/>
              </w:rPr>
              <w:fldChar w:fldCharType="begin"/>
            </w:r>
            <w:r w:rsidR="00B535EE">
              <w:rPr>
                <w:noProof/>
                <w:webHidden/>
              </w:rPr>
              <w:instrText xml:space="preserve"> PAGEREF _Toc31054460 \h </w:instrText>
            </w:r>
            <w:r>
              <w:rPr>
                <w:noProof/>
                <w:webHidden/>
              </w:rPr>
            </w:r>
            <w:r>
              <w:rPr>
                <w:noProof/>
                <w:webHidden/>
              </w:rPr>
              <w:fldChar w:fldCharType="separate"/>
            </w:r>
            <w:r w:rsidR="00B535EE">
              <w:rPr>
                <w:noProof/>
                <w:webHidden/>
              </w:rPr>
              <w:t>39</w:t>
            </w:r>
            <w:r>
              <w:rPr>
                <w:noProof/>
                <w:webHidden/>
              </w:rPr>
              <w:fldChar w:fldCharType="end"/>
            </w:r>
          </w:hyperlink>
        </w:p>
        <w:p w:rsidR="00B535EE" w:rsidRDefault="00163A91">
          <w:pPr>
            <w:pStyle w:val="Obsah2"/>
            <w:tabs>
              <w:tab w:val="left" w:pos="880"/>
              <w:tab w:val="right" w:leader="dot" w:pos="9062"/>
            </w:tabs>
            <w:rPr>
              <w:rFonts w:asciiTheme="minorHAnsi" w:eastAsiaTheme="minorEastAsia" w:hAnsiTheme="minorHAnsi"/>
              <w:noProof/>
              <w:sz w:val="22"/>
              <w:lang w:eastAsia="cs-CZ"/>
            </w:rPr>
          </w:pPr>
          <w:hyperlink w:anchor="_Toc31054461" w:history="1">
            <w:r w:rsidR="00B535EE" w:rsidRPr="00E87469">
              <w:rPr>
                <w:rStyle w:val="Hypertextovodkaz"/>
                <w:noProof/>
              </w:rPr>
              <w:t>2.4.</w:t>
            </w:r>
            <w:r w:rsidR="00B535EE">
              <w:rPr>
                <w:rFonts w:asciiTheme="minorHAnsi" w:eastAsiaTheme="minorEastAsia" w:hAnsiTheme="minorHAnsi"/>
                <w:noProof/>
                <w:sz w:val="22"/>
                <w:lang w:eastAsia="cs-CZ"/>
              </w:rPr>
              <w:tab/>
            </w:r>
            <w:r w:rsidR="00B535EE" w:rsidRPr="00E87469">
              <w:rPr>
                <w:rStyle w:val="Hypertextovodkaz"/>
                <w:rFonts w:cs="Times New Roman"/>
                <w:noProof/>
              </w:rPr>
              <w:t xml:space="preserve">Finanční charakteristiky podniků, jejichž krize byla řešena v rámci insolvenčního řízení (analýza finančních charakteristik </w:t>
            </w:r>
            <w:r w:rsidR="00B535EE" w:rsidRPr="00E87469">
              <w:rPr>
                <w:rStyle w:val="Hypertextovodkaz"/>
                <w:noProof/>
              </w:rPr>
              <w:t>úpadkových</w:t>
            </w:r>
            <w:r w:rsidR="00B535EE" w:rsidRPr="00E87469">
              <w:rPr>
                <w:rStyle w:val="Hypertextovodkaz"/>
                <w:rFonts w:cs="Times New Roman"/>
                <w:noProof/>
              </w:rPr>
              <w:t xml:space="preserve"> podniků</w:t>
            </w:r>
            <w:r w:rsidR="00B535EE" w:rsidRPr="00E87469">
              <w:rPr>
                <w:rStyle w:val="Hypertextovodkaz"/>
                <w:rFonts w:cs="Times New Roman"/>
                <w:i/>
                <w:noProof/>
              </w:rPr>
              <w:t>)</w:t>
            </w:r>
            <w:r w:rsidR="00B535EE">
              <w:rPr>
                <w:noProof/>
                <w:webHidden/>
              </w:rPr>
              <w:tab/>
            </w:r>
            <w:r>
              <w:rPr>
                <w:noProof/>
                <w:webHidden/>
              </w:rPr>
              <w:fldChar w:fldCharType="begin"/>
            </w:r>
            <w:r w:rsidR="00B535EE">
              <w:rPr>
                <w:noProof/>
                <w:webHidden/>
              </w:rPr>
              <w:instrText xml:space="preserve"> PAGEREF _Toc31054461 \h </w:instrText>
            </w:r>
            <w:r>
              <w:rPr>
                <w:noProof/>
                <w:webHidden/>
              </w:rPr>
            </w:r>
            <w:r>
              <w:rPr>
                <w:noProof/>
                <w:webHidden/>
              </w:rPr>
              <w:fldChar w:fldCharType="separate"/>
            </w:r>
            <w:r w:rsidR="00B535EE">
              <w:rPr>
                <w:noProof/>
                <w:webHidden/>
              </w:rPr>
              <w:t>39</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62" w:history="1">
            <w:r w:rsidR="00B535EE" w:rsidRPr="00E87469">
              <w:rPr>
                <w:rStyle w:val="Hypertextovodkaz"/>
                <w:noProof/>
              </w:rPr>
              <w:t>2.4.1.</w:t>
            </w:r>
            <w:r w:rsidR="00B535EE">
              <w:rPr>
                <w:rFonts w:asciiTheme="minorHAnsi" w:eastAsiaTheme="minorEastAsia" w:hAnsiTheme="minorHAnsi"/>
                <w:noProof/>
                <w:sz w:val="22"/>
                <w:lang w:eastAsia="cs-CZ"/>
              </w:rPr>
              <w:tab/>
            </w:r>
            <w:r w:rsidR="00B535EE" w:rsidRPr="00E87469">
              <w:rPr>
                <w:rStyle w:val="Hypertextovodkaz"/>
                <w:noProof/>
              </w:rPr>
              <w:t>Data a metodika</w:t>
            </w:r>
            <w:r w:rsidR="00B535EE">
              <w:rPr>
                <w:noProof/>
                <w:webHidden/>
              </w:rPr>
              <w:tab/>
            </w:r>
            <w:r>
              <w:rPr>
                <w:noProof/>
                <w:webHidden/>
              </w:rPr>
              <w:fldChar w:fldCharType="begin"/>
            </w:r>
            <w:r w:rsidR="00B535EE">
              <w:rPr>
                <w:noProof/>
                <w:webHidden/>
              </w:rPr>
              <w:instrText xml:space="preserve"> PAGEREF _Toc31054462 \h </w:instrText>
            </w:r>
            <w:r>
              <w:rPr>
                <w:noProof/>
                <w:webHidden/>
              </w:rPr>
            </w:r>
            <w:r>
              <w:rPr>
                <w:noProof/>
                <w:webHidden/>
              </w:rPr>
              <w:fldChar w:fldCharType="separate"/>
            </w:r>
            <w:r w:rsidR="00B535EE">
              <w:rPr>
                <w:noProof/>
                <w:webHidden/>
              </w:rPr>
              <w:t>39</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63" w:history="1">
            <w:r w:rsidR="00B535EE" w:rsidRPr="00E87469">
              <w:rPr>
                <w:rStyle w:val="Hypertextovodkaz"/>
                <w:noProof/>
              </w:rPr>
              <w:t>2.4.2.</w:t>
            </w:r>
            <w:r w:rsidR="00B535EE">
              <w:rPr>
                <w:rFonts w:asciiTheme="minorHAnsi" w:eastAsiaTheme="minorEastAsia" w:hAnsiTheme="minorHAnsi"/>
                <w:noProof/>
                <w:sz w:val="22"/>
                <w:lang w:eastAsia="cs-CZ"/>
              </w:rPr>
              <w:tab/>
            </w:r>
            <w:r w:rsidR="00B535EE" w:rsidRPr="00E87469">
              <w:rPr>
                <w:rStyle w:val="Hypertextovodkaz"/>
                <w:noProof/>
              </w:rPr>
              <w:t>Poměrové ukazatele</w:t>
            </w:r>
            <w:r w:rsidR="00B535EE">
              <w:rPr>
                <w:noProof/>
                <w:webHidden/>
              </w:rPr>
              <w:tab/>
            </w:r>
            <w:r>
              <w:rPr>
                <w:noProof/>
                <w:webHidden/>
              </w:rPr>
              <w:fldChar w:fldCharType="begin"/>
            </w:r>
            <w:r w:rsidR="00B535EE">
              <w:rPr>
                <w:noProof/>
                <w:webHidden/>
              </w:rPr>
              <w:instrText xml:space="preserve"> PAGEREF _Toc31054463 \h </w:instrText>
            </w:r>
            <w:r>
              <w:rPr>
                <w:noProof/>
                <w:webHidden/>
              </w:rPr>
            </w:r>
            <w:r>
              <w:rPr>
                <w:noProof/>
                <w:webHidden/>
              </w:rPr>
              <w:fldChar w:fldCharType="separate"/>
            </w:r>
            <w:r w:rsidR="00B535EE">
              <w:rPr>
                <w:noProof/>
                <w:webHidden/>
              </w:rPr>
              <w:t>39</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64" w:history="1">
            <w:r w:rsidR="00B535EE" w:rsidRPr="00E87469">
              <w:rPr>
                <w:rStyle w:val="Hypertextovodkaz"/>
                <w:noProof/>
              </w:rPr>
              <w:t>2.4.3.</w:t>
            </w:r>
            <w:r w:rsidR="00B535EE">
              <w:rPr>
                <w:rFonts w:asciiTheme="minorHAnsi" w:eastAsiaTheme="minorEastAsia" w:hAnsiTheme="minorHAnsi"/>
                <w:noProof/>
                <w:sz w:val="22"/>
                <w:lang w:eastAsia="cs-CZ"/>
              </w:rPr>
              <w:tab/>
            </w:r>
            <w:r w:rsidR="00B535EE" w:rsidRPr="00E87469">
              <w:rPr>
                <w:rStyle w:val="Hypertextovodkaz"/>
                <w:noProof/>
              </w:rPr>
              <w:t>Syntetické ukazatele</w:t>
            </w:r>
            <w:r w:rsidR="00B535EE">
              <w:rPr>
                <w:noProof/>
                <w:webHidden/>
              </w:rPr>
              <w:tab/>
            </w:r>
            <w:r>
              <w:rPr>
                <w:noProof/>
                <w:webHidden/>
              </w:rPr>
              <w:fldChar w:fldCharType="begin"/>
            </w:r>
            <w:r w:rsidR="00B535EE">
              <w:rPr>
                <w:noProof/>
                <w:webHidden/>
              </w:rPr>
              <w:instrText xml:space="preserve"> PAGEREF _Toc31054464 \h </w:instrText>
            </w:r>
            <w:r>
              <w:rPr>
                <w:noProof/>
                <w:webHidden/>
              </w:rPr>
            </w:r>
            <w:r>
              <w:rPr>
                <w:noProof/>
                <w:webHidden/>
              </w:rPr>
              <w:fldChar w:fldCharType="separate"/>
            </w:r>
            <w:r w:rsidR="00B535EE">
              <w:rPr>
                <w:noProof/>
                <w:webHidden/>
              </w:rPr>
              <w:t>40</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65" w:history="1">
            <w:r w:rsidR="00B535EE" w:rsidRPr="00E87469">
              <w:rPr>
                <w:rStyle w:val="Hypertextovodkaz"/>
                <w:noProof/>
              </w:rPr>
              <w:t>2.4.4.</w:t>
            </w:r>
            <w:r w:rsidR="00B535EE">
              <w:rPr>
                <w:rFonts w:asciiTheme="minorHAnsi" w:eastAsiaTheme="minorEastAsia" w:hAnsiTheme="minorHAnsi"/>
                <w:noProof/>
                <w:sz w:val="22"/>
                <w:lang w:eastAsia="cs-CZ"/>
              </w:rPr>
              <w:tab/>
            </w:r>
            <w:r w:rsidR="00B535EE" w:rsidRPr="00E87469">
              <w:rPr>
                <w:rStyle w:val="Hypertextovodkaz"/>
                <w:noProof/>
              </w:rPr>
              <w:t>Polarity vybraných ukazatelů</w:t>
            </w:r>
            <w:r w:rsidR="00B535EE">
              <w:rPr>
                <w:noProof/>
                <w:webHidden/>
              </w:rPr>
              <w:tab/>
            </w:r>
            <w:r>
              <w:rPr>
                <w:noProof/>
                <w:webHidden/>
              </w:rPr>
              <w:fldChar w:fldCharType="begin"/>
            </w:r>
            <w:r w:rsidR="00B535EE">
              <w:rPr>
                <w:noProof/>
                <w:webHidden/>
              </w:rPr>
              <w:instrText xml:space="preserve"> PAGEREF _Toc31054465 \h </w:instrText>
            </w:r>
            <w:r>
              <w:rPr>
                <w:noProof/>
                <w:webHidden/>
              </w:rPr>
            </w:r>
            <w:r>
              <w:rPr>
                <w:noProof/>
                <w:webHidden/>
              </w:rPr>
              <w:fldChar w:fldCharType="separate"/>
            </w:r>
            <w:r w:rsidR="00B535EE">
              <w:rPr>
                <w:noProof/>
                <w:webHidden/>
              </w:rPr>
              <w:t>40</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66" w:history="1">
            <w:r w:rsidR="00B535EE" w:rsidRPr="00E87469">
              <w:rPr>
                <w:rStyle w:val="Hypertextovodkaz"/>
                <w:noProof/>
              </w:rPr>
              <w:t>2.4.5.</w:t>
            </w:r>
            <w:r w:rsidR="00B535EE">
              <w:rPr>
                <w:rFonts w:asciiTheme="minorHAnsi" w:eastAsiaTheme="minorEastAsia" w:hAnsiTheme="minorHAnsi"/>
                <w:noProof/>
                <w:sz w:val="22"/>
                <w:lang w:eastAsia="cs-CZ"/>
              </w:rPr>
              <w:tab/>
            </w:r>
            <w:r w:rsidR="00B535EE" w:rsidRPr="00E87469">
              <w:rPr>
                <w:rStyle w:val="Hypertextovodkaz"/>
                <w:noProof/>
              </w:rPr>
              <w:t>Výsledky analýzy</w:t>
            </w:r>
            <w:r w:rsidR="00B535EE">
              <w:rPr>
                <w:noProof/>
                <w:webHidden/>
              </w:rPr>
              <w:tab/>
            </w:r>
            <w:r>
              <w:rPr>
                <w:noProof/>
                <w:webHidden/>
              </w:rPr>
              <w:fldChar w:fldCharType="begin"/>
            </w:r>
            <w:r w:rsidR="00B535EE">
              <w:rPr>
                <w:noProof/>
                <w:webHidden/>
              </w:rPr>
              <w:instrText xml:space="preserve"> PAGEREF _Toc31054466 \h </w:instrText>
            </w:r>
            <w:r>
              <w:rPr>
                <w:noProof/>
                <w:webHidden/>
              </w:rPr>
            </w:r>
            <w:r>
              <w:rPr>
                <w:noProof/>
                <w:webHidden/>
              </w:rPr>
              <w:fldChar w:fldCharType="separate"/>
            </w:r>
            <w:r w:rsidR="00B535EE">
              <w:rPr>
                <w:noProof/>
                <w:webHidden/>
              </w:rPr>
              <w:t>41</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67" w:history="1">
            <w:r w:rsidR="00B535EE" w:rsidRPr="00E87469">
              <w:rPr>
                <w:rStyle w:val="Hypertextovodkaz"/>
                <w:noProof/>
              </w:rPr>
              <w:t>2.4.6.</w:t>
            </w:r>
            <w:r w:rsidR="00B535EE">
              <w:rPr>
                <w:rFonts w:asciiTheme="minorHAnsi" w:eastAsiaTheme="minorEastAsia" w:hAnsiTheme="minorHAnsi"/>
                <w:noProof/>
                <w:sz w:val="22"/>
                <w:lang w:eastAsia="cs-CZ"/>
              </w:rPr>
              <w:tab/>
            </w:r>
            <w:r w:rsidR="00B535EE" w:rsidRPr="00E87469">
              <w:rPr>
                <w:rStyle w:val="Hypertextovodkaz"/>
                <w:noProof/>
              </w:rPr>
              <w:t>Průměry a medián poměrových ukazatelů</w:t>
            </w:r>
            <w:r w:rsidR="00B535EE">
              <w:rPr>
                <w:noProof/>
                <w:webHidden/>
              </w:rPr>
              <w:tab/>
            </w:r>
            <w:r>
              <w:rPr>
                <w:noProof/>
                <w:webHidden/>
              </w:rPr>
              <w:fldChar w:fldCharType="begin"/>
            </w:r>
            <w:r w:rsidR="00B535EE">
              <w:rPr>
                <w:noProof/>
                <w:webHidden/>
              </w:rPr>
              <w:instrText xml:space="preserve"> PAGEREF _Toc31054467 \h </w:instrText>
            </w:r>
            <w:r>
              <w:rPr>
                <w:noProof/>
                <w:webHidden/>
              </w:rPr>
            </w:r>
            <w:r>
              <w:rPr>
                <w:noProof/>
                <w:webHidden/>
              </w:rPr>
              <w:fldChar w:fldCharType="separate"/>
            </w:r>
            <w:r w:rsidR="00B535EE">
              <w:rPr>
                <w:noProof/>
                <w:webHidden/>
              </w:rPr>
              <w:t>41</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68" w:history="1">
            <w:r w:rsidR="00B535EE" w:rsidRPr="00E87469">
              <w:rPr>
                <w:rStyle w:val="Hypertextovodkaz"/>
                <w:noProof/>
              </w:rPr>
              <w:t>2.4.7.</w:t>
            </w:r>
            <w:r w:rsidR="00B535EE">
              <w:rPr>
                <w:rFonts w:asciiTheme="minorHAnsi" w:eastAsiaTheme="minorEastAsia" w:hAnsiTheme="minorHAnsi"/>
                <w:noProof/>
                <w:sz w:val="22"/>
                <w:lang w:eastAsia="cs-CZ"/>
              </w:rPr>
              <w:tab/>
            </w:r>
            <w:r w:rsidR="00B535EE" w:rsidRPr="00E87469">
              <w:rPr>
                <w:rStyle w:val="Hypertextovodkaz"/>
                <w:noProof/>
              </w:rPr>
              <w:t>Syntetické ukazatele</w:t>
            </w:r>
            <w:r w:rsidR="00B535EE">
              <w:rPr>
                <w:noProof/>
                <w:webHidden/>
              </w:rPr>
              <w:tab/>
            </w:r>
            <w:r>
              <w:rPr>
                <w:noProof/>
                <w:webHidden/>
              </w:rPr>
              <w:fldChar w:fldCharType="begin"/>
            </w:r>
            <w:r w:rsidR="00B535EE">
              <w:rPr>
                <w:noProof/>
                <w:webHidden/>
              </w:rPr>
              <w:instrText xml:space="preserve"> PAGEREF _Toc31054468 \h </w:instrText>
            </w:r>
            <w:r>
              <w:rPr>
                <w:noProof/>
                <w:webHidden/>
              </w:rPr>
            </w:r>
            <w:r>
              <w:rPr>
                <w:noProof/>
                <w:webHidden/>
              </w:rPr>
              <w:fldChar w:fldCharType="separate"/>
            </w:r>
            <w:r w:rsidR="00B535EE">
              <w:rPr>
                <w:noProof/>
                <w:webHidden/>
              </w:rPr>
              <w:t>45</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69" w:history="1">
            <w:r w:rsidR="00B535EE" w:rsidRPr="00E87469">
              <w:rPr>
                <w:rStyle w:val="Hypertextovodkaz"/>
                <w:noProof/>
              </w:rPr>
              <w:t>2.4.8.</w:t>
            </w:r>
            <w:r w:rsidR="00B535EE">
              <w:rPr>
                <w:rFonts w:asciiTheme="minorHAnsi" w:eastAsiaTheme="minorEastAsia" w:hAnsiTheme="minorHAnsi"/>
                <w:noProof/>
                <w:sz w:val="22"/>
                <w:lang w:eastAsia="cs-CZ"/>
              </w:rPr>
              <w:tab/>
            </w:r>
            <w:r w:rsidR="00B535EE" w:rsidRPr="00E87469">
              <w:rPr>
                <w:rStyle w:val="Hypertextovodkaz"/>
                <w:noProof/>
              </w:rPr>
              <w:t>Relativní četnosti polarity vybraných ukazatelů</w:t>
            </w:r>
            <w:r w:rsidR="00B535EE">
              <w:rPr>
                <w:noProof/>
                <w:webHidden/>
              </w:rPr>
              <w:tab/>
            </w:r>
            <w:r>
              <w:rPr>
                <w:noProof/>
                <w:webHidden/>
              </w:rPr>
              <w:fldChar w:fldCharType="begin"/>
            </w:r>
            <w:r w:rsidR="00B535EE">
              <w:rPr>
                <w:noProof/>
                <w:webHidden/>
              </w:rPr>
              <w:instrText xml:space="preserve"> PAGEREF _Toc31054469 \h </w:instrText>
            </w:r>
            <w:r>
              <w:rPr>
                <w:noProof/>
                <w:webHidden/>
              </w:rPr>
            </w:r>
            <w:r>
              <w:rPr>
                <w:noProof/>
                <w:webHidden/>
              </w:rPr>
              <w:fldChar w:fldCharType="separate"/>
            </w:r>
            <w:r w:rsidR="00B535EE">
              <w:rPr>
                <w:noProof/>
                <w:webHidden/>
              </w:rPr>
              <w:t>46</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70" w:history="1">
            <w:r w:rsidR="00B535EE" w:rsidRPr="00E87469">
              <w:rPr>
                <w:rStyle w:val="Hypertextovodkaz"/>
                <w:noProof/>
              </w:rPr>
              <w:t>2.3.7.</w:t>
            </w:r>
            <w:r w:rsidR="00B535EE">
              <w:rPr>
                <w:rFonts w:asciiTheme="minorHAnsi" w:eastAsiaTheme="minorEastAsia" w:hAnsiTheme="minorHAnsi"/>
                <w:noProof/>
                <w:sz w:val="22"/>
                <w:lang w:eastAsia="cs-CZ"/>
              </w:rPr>
              <w:tab/>
            </w:r>
            <w:r w:rsidR="00B535EE" w:rsidRPr="00E87469">
              <w:rPr>
                <w:rStyle w:val="Hypertextovodkaz"/>
                <w:noProof/>
              </w:rPr>
              <w:t>Syntetické ukazatele</w:t>
            </w:r>
            <w:r w:rsidR="00B535EE">
              <w:rPr>
                <w:noProof/>
                <w:webHidden/>
              </w:rPr>
              <w:tab/>
            </w:r>
            <w:r>
              <w:rPr>
                <w:noProof/>
                <w:webHidden/>
              </w:rPr>
              <w:fldChar w:fldCharType="begin"/>
            </w:r>
            <w:r w:rsidR="00B535EE">
              <w:rPr>
                <w:noProof/>
                <w:webHidden/>
              </w:rPr>
              <w:instrText xml:space="preserve"> PAGEREF _Toc31054470 \h </w:instrText>
            </w:r>
            <w:r>
              <w:rPr>
                <w:noProof/>
                <w:webHidden/>
              </w:rPr>
            </w:r>
            <w:r>
              <w:rPr>
                <w:noProof/>
                <w:webHidden/>
              </w:rPr>
              <w:fldChar w:fldCharType="separate"/>
            </w:r>
            <w:r w:rsidR="00B535EE">
              <w:rPr>
                <w:noProof/>
                <w:webHidden/>
              </w:rPr>
              <w:t>49</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71" w:history="1">
            <w:r w:rsidR="00B535EE" w:rsidRPr="00E87469">
              <w:rPr>
                <w:rStyle w:val="Hypertextovodkaz"/>
                <w:noProof/>
              </w:rPr>
              <w:t>2.3.9.</w:t>
            </w:r>
            <w:r w:rsidR="00B535EE">
              <w:rPr>
                <w:rFonts w:asciiTheme="minorHAnsi" w:eastAsiaTheme="minorEastAsia" w:hAnsiTheme="minorHAnsi"/>
                <w:noProof/>
                <w:sz w:val="22"/>
                <w:lang w:eastAsia="cs-CZ"/>
              </w:rPr>
              <w:tab/>
            </w:r>
            <w:r w:rsidR="00B535EE" w:rsidRPr="00E87469">
              <w:rPr>
                <w:rStyle w:val="Hypertextovodkaz"/>
                <w:noProof/>
              </w:rPr>
              <w:t>Diskuse a závěr</w:t>
            </w:r>
            <w:r w:rsidR="00B535EE">
              <w:rPr>
                <w:noProof/>
                <w:webHidden/>
              </w:rPr>
              <w:tab/>
            </w:r>
            <w:r>
              <w:rPr>
                <w:noProof/>
                <w:webHidden/>
              </w:rPr>
              <w:fldChar w:fldCharType="begin"/>
            </w:r>
            <w:r w:rsidR="00B535EE">
              <w:rPr>
                <w:noProof/>
                <w:webHidden/>
              </w:rPr>
              <w:instrText xml:space="preserve"> PAGEREF _Toc31054471 \h </w:instrText>
            </w:r>
            <w:r>
              <w:rPr>
                <w:noProof/>
                <w:webHidden/>
              </w:rPr>
            </w:r>
            <w:r>
              <w:rPr>
                <w:noProof/>
                <w:webHidden/>
              </w:rPr>
              <w:fldChar w:fldCharType="separate"/>
            </w:r>
            <w:r w:rsidR="00B535EE">
              <w:rPr>
                <w:noProof/>
                <w:webHidden/>
              </w:rPr>
              <w:t>50</w:t>
            </w:r>
            <w:r>
              <w:rPr>
                <w:noProof/>
                <w:webHidden/>
              </w:rPr>
              <w:fldChar w:fldCharType="end"/>
            </w:r>
          </w:hyperlink>
        </w:p>
        <w:p w:rsidR="00B535EE" w:rsidRDefault="00163A91">
          <w:pPr>
            <w:pStyle w:val="Obsah3"/>
            <w:tabs>
              <w:tab w:val="left" w:pos="1540"/>
              <w:tab w:val="right" w:leader="dot" w:pos="9062"/>
            </w:tabs>
            <w:rPr>
              <w:rFonts w:asciiTheme="minorHAnsi" w:eastAsiaTheme="minorEastAsia" w:hAnsiTheme="minorHAnsi"/>
              <w:noProof/>
              <w:sz w:val="22"/>
              <w:lang w:eastAsia="cs-CZ"/>
            </w:rPr>
          </w:pPr>
          <w:hyperlink w:anchor="_Toc31054472" w:history="1">
            <w:r w:rsidR="00B535EE" w:rsidRPr="00E87469">
              <w:rPr>
                <w:rStyle w:val="Hypertextovodkaz"/>
                <w:noProof/>
              </w:rPr>
              <w:t>2.3.10.</w:t>
            </w:r>
            <w:r w:rsidR="00B535EE">
              <w:rPr>
                <w:rFonts w:asciiTheme="minorHAnsi" w:eastAsiaTheme="minorEastAsia" w:hAnsiTheme="minorHAnsi"/>
                <w:noProof/>
                <w:sz w:val="22"/>
                <w:lang w:eastAsia="cs-CZ"/>
              </w:rPr>
              <w:tab/>
            </w:r>
            <w:r w:rsidR="00B535EE" w:rsidRPr="00E87469">
              <w:rPr>
                <w:rStyle w:val="Hypertextovodkaz"/>
                <w:noProof/>
              </w:rPr>
              <w:t>Otázka motivací</w:t>
            </w:r>
            <w:r w:rsidR="00B535EE">
              <w:rPr>
                <w:noProof/>
                <w:webHidden/>
              </w:rPr>
              <w:tab/>
            </w:r>
            <w:r>
              <w:rPr>
                <w:noProof/>
                <w:webHidden/>
              </w:rPr>
              <w:fldChar w:fldCharType="begin"/>
            </w:r>
            <w:r w:rsidR="00B535EE">
              <w:rPr>
                <w:noProof/>
                <w:webHidden/>
              </w:rPr>
              <w:instrText xml:space="preserve"> PAGEREF _Toc31054472 \h </w:instrText>
            </w:r>
            <w:r>
              <w:rPr>
                <w:noProof/>
                <w:webHidden/>
              </w:rPr>
            </w:r>
            <w:r>
              <w:rPr>
                <w:noProof/>
                <w:webHidden/>
              </w:rPr>
              <w:fldChar w:fldCharType="separate"/>
            </w:r>
            <w:r w:rsidR="00B535EE">
              <w:rPr>
                <w:noProof/>
                <w:webHidden/>
              </w:rPr>
              <w:t>50</w:t>
            </w:r>
            <w:r>
              <w:rPr>
                <w:noProof/>
                <w:webHidden/>
              </w:rPr>
              <w:fldChar w:fldCharType="end"/>
            </w:r>
          </w:hyperlink>
        </w:p>
        <w:p w:rsidR="00B535EE" w:rsidRDefault="00163A91">
          <w:pPr>
            <w:pStyle w:val="Obsah2"/>
            <w:tabs>
              <w:tab w:val="left" w:pos="880"/>
              <w:tab w:val="right" w:leader="dot" w:pos="9062"/>
            </w:tabs>
            <w:rPr>
              <w:rFonts w:asciiTheme="minorHAnsi" w:eastAsiaTheme="minorEastAsia" w:hAnsiTheme="minorHAnsi"/>
              <w:noProof/>
              <w:sz w:val="22"/>
              <w:lang w:eastAsia="cs-CZ"/>
            </w:rPr>
          </w:pPr>
          <w:hyperlink w:anchor="_Toc31054473" w:history="1">
            <w:r w:rsidR="00B535EE" w:rsidRPr="00E87469">
              <w:rPr>
                <w:rStyle w:val="Hypertextovodkaz"/>
                <w:noProof/>
              </w:rPr>
              <w:t>2.5.</w:t>
            </w:r>
            <w:r w:rsidR="00B535EE">
              <w:rPr>
                <w:rFonts w:asciiTheme="minorHAnsi" w:eastAsiaTheme="minorEastAsia" w:hAnsiTheme="minorHAnsi"/>
                <w:noProof/>
                <w:sz w:val="22"/>
                <w:lang w:eastAsia="cs-CZ"/>
              </w:rPr>
              <w:tab/>
            </w:r>
            <w:r w:rsidR="00B535EE" w:rsidRPr="00E87469">
              <w:rPr>
                <w:rStyle w:val="Hypertextovodkaz"/>
                <w:rFonts w:cs="Times New Roman"/>
                <w:noProof/>
                <w:shd w:val="clear" w:color="auto" w:fill="FFFFFF"/>
              </w:rPr>
              <w:t>Finanční charakteristiky odlišující úpadkové a bezproblémové podniky – budování systému včasného varování podnikové krize</w:t>
            </w:r>
            <w:r w:rsidR="00B535EE">
              <w:rPr>
                <w:noProof/>
                <w:webHidden/>
              </w:rPr>
              <w:tab/>
            </w:r>
            <w:r>
              <w:rPr>
                <w:noProof/>
                <w:webHidden/>
              </w:rPr>
              <w:fldChar w:fldCharType="begin"/>
            </w:r>
            <w:r w:rsidR="00B535EE">
              <w:rPr>
                <w:noProof/>
                <w:webHidden/>
              </w:rPr>
              <w:instrText xml:space="preserve"> PAGEREF _Toc31054473 \h </w:instrText>
            </w:r>
            <w:r>
              <w:rPr>
                <w:noProof/>
                <w:webHidden/>
              </w:rPr>
            </w:r>
            <w:r>
              <w:rPr>
                <w:noProof/>
                <w:webHidden/>
              </w:rPr>
              <w:fldChar w:fldCharType="separate"/>
            </w:r>
            <w:r w:rsidR="00B535EE">
              <w:rPr>
                <w:noProof/>
                <w:webHidden/>
              </w:rPr>
              <w:t>52</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74" w:history="1">
            <w:r w:rsidR="00B535EE" w:rsidRPr="00E87469">
              <w:rPr>
                <w:rStyle w:val="Hypertextovodkaz"/>
                <w:noProof/>
              </w:rPr>
              <w:t>2.5.1.</w:t>
            </w:r>
            <w:r w:rsidR="00B535EE">
              <w:rPr>
                <w:rFonts w:asciiTheme="minorHAnsi" w:eastAsiaTheme="minorEastAsia" w:hAnsiTheme="minorHAnsi"/>
                <w:noProof/>
                <w:sz w:val="22"/>
                <w:lang w:eastAsia="cs-CZ"/>
              </w:rPr>
              <w:tab/>
            </w:r>
            <w:r w:rsidR="00B535EE" w:rsidRPr="00E87469">
              <w:rPr>
                <w:rStyle w:val="Hypertextovodkaz"/>
                <w:noProof/>
              </w:rPr>
              <w:t>Data a metodika</w:t>
            </w:r>
            <w:r w:rsidR="00B535EE">
              <w:rPr>
                <w:noProof/>
                <w:webHidden/>
              </w:rPr>
              <w:tab/>
            </w:r>
            <w:r>
              <w:rPr>
                <w:noProof/>
                <w:webHidden/>
              </w:rPr>
              <w:fldChar w:fldCharType="begin"/>
            </w:r>
            <w:r w:rsidR="00B535EE">
              <w:rPr>
                <w:noProof/>
                <w:webHidden/>
              </w:rPr>
              <w:instrText xml:space="preserve"> PAGEREF _Toc31054474 \h </w:instrText>
            </w:r>
            <w:r>
              <w:rPr>
                <w:noProof/>
                <w:webHidden/>
              </w:rPr>
            </w:r>
            <w:r>
              <w:rPr>
                <w:noProof/>
                <w:webHidden/>
              </w:rPr>
              <w:fldChar w:fldCharType="separate"/>
            </w:r>
            <w:r w:rsidR="00B535EE">
              <w:rPr>
                <w:noProof/>
                <w:webHidden/>
              </w:rPr>
              <w:t>52</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75" w:history="1">
            <w:r w:rsidR="00B535EE" w:rsidRPr="00E87469">
              <w:rPr>
                <w:rStyle w:val="Hypertextovodkaz"/>
                <w:noProof/>
              </w:rPr>
              <w:t>2.5.2.</w:t>
            </w:r>
            <w:r w:rsidR="00B535EE">
              <w:rPr>
                <w:rFonts w:asciiTheme="minorHAnsi" w:eastAsiaTheme="minorEastAsia" w:hAnsiTheme="minorHAnsi"/>
                <w:noProof/>
                <w:sz w:val="22"/>
                <w:lang w:eastAsia="cs-CZ"/>
              </w:rPr>
              <w:tab/>
            </w:r>
            <w:r w:rsidR="00B535EE" w:rsidRPr="00E87469">
              <w:rPr>
                <w:rStyle w:val="Hypertextovodkaz"/>
                <w:noProof/>
              </w:rPr>
              <w:t>Polarity vybraných ukazatelů</w:t>
            </w:r>
            <w:r w:rsidR="00B535EE">
              <w:rPr>
                <w:noProof/>
                <w:webHidden/>
              </w:rPr>
              <w:tab/>
            </w:r>
            <w:r>
              <w:rPr>
                <w:noProof/>
                <w:webHidden/>
              </w:rPr>
              <w:fldChar w:fldCharType="begin"/>
            </w:r>
            <w:r w:rsidR="00B535EE">
              <w:rPr>
                <w:noProof/>
                <w:webHidden/>
              </w:rPr>
              <w:instrText xml:space="preserve"> PAGEREF _Toc31054475 \h </w:instrText>
            </w:r>
            <w:r>
              <w:rPr>
                <w:noProof/>
                <w:webHidden/>
              </w:rPr>
            </w:r>
            <w:r>
              <w:rPr>
                <w:noProof/>
                <w:webHidden/>
              </w:rPr>
              <w:fldChar w:fldCharType="separate"/>
            </w:r>
            <w:r w:rsidR="00B535EE">
              <w:rPr>
                <w:noProof/>
                <w:webHidden/>
              </w:rPr>
              <w:t>53</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76" w:history="1">
            <w:r w:rsidR="00B535EE" w:rsidRPr="00E87469">
              <w:rPr>
                <w:rStyle w:val="Hypertextovodkaz"/>
                <w:noProof/>
              </w:rPr>
              <w:t>2.5.3.</w:t>
            </w:r>
            <w:r w:rsidR="00B535EE">
              <w:rPr>
                <w:rFonts w:asciiTheme="minorHAnsi" w:eastAsiaTheme="minorEastAsia" w:hAnsiTheme="minorHAnsi"/>
                <w:noProof/>
                <w:sz w:val="22"/>
                <w:lang w:eastAsia="cs-CZ"/>
              </w:rPr>
              <w:tab/>
            </w:r>
            <w:r w:rsidR="00B535EE" w:rsidRPr="00E87469">
              <w:rPr>
                <w:rStyle w:val="Hypertextovodkaz"/>
                <w:noProof/>
              </w:rPr>
              <w:t>Kategorie poměrových ukazatelů</w:t>
            </w:r>
            <w:r w:rsidR="00B535EE">
              <w:rPr>
                <w:noProof/>
                <w:webHidden/>
              </w:rPr>
              <w:tab/>
            </w:r>
            <w:r>
              <w:rPr>
                <w:noProof/>
                <w:webHidden/>
              </w:rPr>
              <w:fldChar w:fldCharType="begin"/>
            </w:r>
            <w:r w:rsidR="00B535EE">
              <w:rPr>
                <w:noProof/>
                <w:webHidden/>
              </w:rPr>
              <w:instrText xml:space="preserve"> PAGEREF _Toc31054476 \h </w:instrText>
            </w:r>
            <w:r>
              <w:rPr>
                <w:noProof/>
                <w:webHidden/>
              </w:rPr>
            </w:r>
            <w:r>
              <w:rPr>
                <w:noProof/>
                <w:webHidden/>
              </w:rPr>
              <w:fldChar w:fldCharType="separate"/>
            </w:r>
            <w:r w:rsidR="00B535EE">
              <w:rPr>
                <w:noProof/>
                <w:webHidden/>
              </w:rPr>
              <w:t>53</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77" w:history="1">
            <w:r w:rsidR="00B535EE" w:rsidRPr="00E87469">
              <w:rPr>
                <w:rStyle w:val="Hypertextovodkaz"/>
                <w:noProof/>
              </w:rPr>
              <w:t>2.5.4.</w:t>
            </w:r>
            <w:r w:rsidR="00B535EE">
              <w:rPr>
                <w:rFonts w:asciiTheme="minorHAnsi" w:eastAsiaTheme="minorEastAsia" w:hAnsiTheme="minorHAnsi"/>
                <w:noProof/>
                <w:sz w:val="22"/>
                <w:lang w:eastAsia="cs-CZ"/>
              </w:rPr>
              <w:tab/>
            </w:r>
            <w:r w:rsidR="00B535EE" w:rsidRPr="00E87469">
              <w:rPr>
                <w:rStyle w:val="Hypertextovodkaz"/>
                <w:noProof/>
              </w:rPr>
              <w:t>Mezera krytí</w:t>
            </w:r>
            <w:r w:rsidR="00B535EE">
              <w:rPr>
                <w:noProof/>
                <w:webHidden/>
              </w:rPr>
              <w:tab/>
            </w:r>
            <w:r>
              <w:rPr>
                <w:noProof/>
                <w:webHidden/>
              </w:rPr>
              <w:fldChar w:fldCharType="begin"/>
            </w:r>
            <w:r w:rsidR="00B535EE">
              <w:rPr>
                <w:noProof/>
                <w:webHidden/>
              </w:rPr>
              <w:instrText xml:space="preserve"> PAGEREF _Toc31054477 \h </w:instrText>
            </w:r>
            <w:r>
              <w:rPr>
                <w:noProof/>
                <w:webHidden/>
              </w:rPr>
            </w:r>
            <w:r>
              <w:rPr>
                <w:noProof/>
                <w:webHidden/>
              </w:rPr>
              <w:fldChar w:fldCharType="separate"/>
            </w:r>
            <w:r w:rsidR="00B535EE">
              <w:rPr>
                <w:noProof/>
                <w:webHidden/>
              </w:rPr>
              <w:t>55</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78" w:history="1">
            <w:r w:rsidR="00B535EE" w:rsidRPr="00E87469">
              <w:rPr>
                <w:rStyle w:val="Hypertextovodkaz"/>
                <w:noProof/>
              </w:rPr>
              <w:t>2.5.5.</w:t>
            </w:r>
            <w:r w:rsidR="00B535EE">
              <w:rPr>
                <w:rFonts w:asciiTheme="minorHAnsi" w:eastAsiaTheme="minorEastAsia" w:hAnsiTheme="minorHAnsi"/>
                <w:noProof/>
                <w:sz w:val="22"/>
                <w:lang w:eastAsia="cs-CZ"/>
              </w:rPr>
              <w:tab/>
            </w:r>
            <w:r w:rsidR="00B535EE" w:rsidRPr="00E87469">
              <w:rPr>
                <w:rStyle w:val="Hypertextovodkaz"/>
                <w:noProof/>
              </w:rPr>
              <w:t>Výsledky analýzy</w:t>
            </w:r>
            <w:r w:rsidR="00B535EE">
              <w:rPr>
                <w:noProof/>
                <w:webHidden/>
              </w:rPr>
              <w:tab/>
            </w:r>
            <w:r>
              <w:rPr>
                <w:noProof/>
                <w:webHidden/>
              </w:rPr>
              <w:fldChar w:fldCharType="begin"/>
            </w:r>
            <w:r w:rsidR="00B535EE">
              <w:rPr>
                <w:noProof/>
                <w:webHidden/>
              </w:rPr>
              <w:instrText xml:space="preserve"> PAGEREF _Toc31054478 \h </w:instrText>
            </w:r>
            <w:r>
              <w:rPr>
                <w:noProof/>
                <w:webHidden/>
              </w:rPr>
            </w:r>
            <w:r>
              <w:rPr>
                <w:noProof/>
                <w:webHidden/>
              </w:rPr>
              <w:fldChar w:fldCharType="separate"/>
            </w:r>
            <w:r w:rsidR="00B535EE">
              <w:rPr>
                <w:noProof/>
                <w:webHidden/>
              </w:rPr>
              <w:t>56</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79" w:history="1">
            <w:r w:rsidR="00B535EE" w:rsidRPr="00E87469">
              <w:rPr>
                <w:rStyle w:val="Hypertextovodkaz"/>
                <w:noProof/>
              </w:rPr>
              <w:t>2.5.6.</w:t>
            </w:r>
            <w:r w:rsidR="00B535EE">
              <w:rPr>
                <w:rFonts w:asciiTheme="minorHAnsi" w:eastAsiaTheme="minorEastAsia" w:hAnsiTheme="minorHAnsi"/>
                <w:noProof/>
                <w:sz w:val="22"/>
                <w:lang w:eastAsia="cs-CZ"/>
              </w:rPr>
              <w:tab/>
            </w:r>
            <w:r w:rsidR="00B535EE" w:rsidRPr="00E87469">
              <w:rPr>
                <w:rStyle w:val="Hypertextovodkaz"/>
                <w:noProof/>
              </w:rPr>
              <w:t>Četnosti polarit vybraných ukazatelů úpadkových a bezproblémových podniků</w:t>
            </w:r>
            <w:r w:rsidR="00B535EE">
              <w:rPr>
                <w:noProof/>
                <w:webHidden/>
              </w:rPr>
              <w:tab/>
            </w:r>
            <w:r>
              <w:rPr>
                <w:noProof/>
                <w:webHidden/>
              </w:rPr>
              <w:fldChar w:fldCharType="begin"/>
            </w:r>
            <w:r w:rsidR="00B535EE">
              <w:rPr>
                <w:noProof/>
                <w:webHidden/>
              </w:rPr>
              <w:instrText xml:space="preserve"> PAGEREF _Toc31054479 \h </w:instrText>
            </w:r>
            <w:r>
              <w:rPr>
                <w:noProof/>
                <w:webHidden/>
              </w:rPr>
            </w:r>
            <w:r>
              <w:rPr>
                <w:noProof/>
                <w:webHidden/>
              </w:rPr>
              <w:fldChar w:fldCharType="separate"/>
            </w:r>
            <w:r w:rsidR="00B535EE">
              <w:rPr>
                <w:noProof/>
                <w:webHidden/>
              </w:rPr>
              <w:t>56</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80" w:history="1">
            <w:r w:rsidR="00B535EE" w:rsidRPr="00E87469">
              <w:rPr>
                <w:rStyle w:val="Hypertextovodkaz"/>
                <w:noProof/>
              </w:rPr>
              <w:t>2.5.7.</w:t>
            </w:r>
            <w:r w:rsidR="00B535EE">
              <w:rPr>
                <w:rFonts w:asciiTheme="minorHAnsi" w:eastAsiaTheme="minorEastAsia" w:hAnsiTheme="minorHAnsi"/>
                <w:noProof/>
                <w:sz w:val="22"/>
                <w:lang w:eastAsia="cs-CZ"/>
              </w:rPr>
              <w:tab/>
            </w:r>
            <w:r w:rsidR="00B535EE" w:rsidRPr="00E87469">
              <w:rPr>
                <w:rStyle w:val="Hypertextovodkaz"/>
                <w:noProof/>
              </w:rPr>
              <w:t>Kategorie (intervaly) poměrových ukazatelů</w:t>
            </w:r>
            <w:r w:rsidR="00B535EE">
              <w:rPr>
                <w:noProof/>
                <w:webHidden/>
              </w:rPr>
              <w:tab/>
            </w:r>
            <w:r>
              <w:rPr>
                <w:noProof/>
                <w:webHidden/>
              </w:rPr>
              <w:fldChar w:fldCharType="begin"/>
            </w:r>
            <w:r w:rsidR="00B535EE">
              <w:rPr>
                <w:noProof/>
                <w:webHidden/>
              </w:rPr>
              <w:instrText xml:space="preserve"> PAGEREF _Toc31054480 \h </w:instrText>
            </w:r>
            <w:r>
              <w:rPr>
                <w:noProof/>
                <w:webHidden/>
              </w:rPr>
            </w:r>
            <w:r>
              <w:rPr>
                <w:noProof/>
                <w:webHidden/>
              </w:rPr>
              <w:fldChar w:fldCharType="separate"/>
            </w:r>
            <w:r w:rsidR="00B535EE">
              <w:rPr>
                <w:noProof/>
                <w:webHidden/>
              </w:rPr>
              <w:t>61</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81" w:history="1">
            <w:r w:rsidR="00B535EE" w:rsidRPr="00E87469">
              <w:rPr>
                <w:rStyle w:val="Hypertextovodkaz"/>
                <w:noProof/>
              </w:rPr>
              <w:t>2.5.8.</w:t>
            </w:r>
            <w:r w:rsidR="00B535EE">
              <w:rPr>
                <w:rFonts w:asciiTheme="minorHAnsi" w:eastAsiaTheme="minorEastAsia" w:hAnsiTheme="minorHAnsi"/>
                <w:noProof/>
                <w:sz w:val="22"/>
                <w:lang w:eastAsia="cs-CZ"/>
              </w:rPr>
              <w:tab/>
            </w:r>
            <w:r w:rsidR="00B535EE" w:rsidRPr="00E87469">
              <w:rPr>
                <w:rStyle w:val="Hypertextovodkaz"/>
                <w:noProof/>
              </w:rPr>
              <w:t>Provozní marže</w:t>
            </w:r>
            <w:r w:rsidR="00B535EE">
              <w:rPr>
                <w:noProof/>
                <w:webHidden/>
              </w:rPr>
              <w:tab/>
            </w:r>
            <w:r>
              <w:rPr>
                <w:noProof/>
                <w:webHidden/>
              </w:rPr>
              <w:fldChar w:fldCharType="begin"/>
            </w:r>
            <w:r w:rsidR="00B535EE">
              <w:rPr>
                <w:noProof/>
                <w:webHidden/>
              </w:rPr>
              <w:instrText xml:space="preserve"> PAGEREF _Toc31054481 \h </w:instrText>
            </w:r>
            <w:r>
              <w:rPr>
                <w:noProof/>
                <w:webHidden/>
              </w:rPr>
            </w:r>
            <w:r>
              <w:rPr>
                <w:noProof/>
                <w:webHidden/>
              </w:rPr>
              <w:fldChar w:fldCharType="separate"/>
            </w:r>
            <w:r w:rsidR="00B535EE">
              <w:rPr>
                <w:noProof/>
                <w:webHidden/>
              </w:rPr>
              <w:t>61</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82" w:history="1">
            <w:r w:rsidR="00B535EE" w:rsidRPr="00E87469">
              <w:rPr>
                <w:rStyle w:val="Hypertextovodkaz"/>
                <w:noProof/>
              </w:rPr>
              <w:t>2.5.9.</w:t>
            </w:r>
            <w:r w:rsidR="00B535EE">
              <w:rPr>
                <w:rFonts w:asciiTheme="minorHAnsi" w:eastAsiaTheme="minorEastAsia" w:hAnsiTheme="minorHAnsi"/>
                <w:noProof/>
                <w:sz w:val="22"/>
                <w:lang w:eastAsia="cs-CZ"/>
              </w:rPr>
              <w:tab/>
            </w:r>
            <w:r w:rsidR="00B535EE" w:rsidRPr="00E87469">
              <w:rPr>
                <w:rStyle w:val="Hypertextovodkaz"/>
                <w:noProof/>
              </w:rPr>
              <w:t>Ukazatele pracovního kapitálu</w:t>
            </w:r>
            <w:r w:rsidR="00B535EE">
              <w:rPr>
                <w:noProof/>
                <w:webHidden/>
              </w:rPr>
              <w:tab/>
            </w:r>
            <w:r>
              <w:rPr>
                <w:noProof/>
                <w:webHidden/>
              </w:rPr>
              <w:fldChar w:fldCharType="begin"/>
            </w:r>
            <w:r w:rsidR="00B535EE">
              <w:rPr>
                <w:noProof/>
                <w:webHidden/>
              </w:rPr>
              <w:instrText xml:space="preserve"> PAGEREF _Toc31054482 \h </w:instrText>
            </w:r>
            <w:r>
              <w:rPr>
                <w:noProof/>
                <w:webHidden/>
              </w:rPr>
            </w:r>
            <w:r>
              <w:rPr>
                <w:noProof/>
                <w:webHidden/>
              </w:rPr>
              <w:fldChar w:fldCharType="separate"/>
            </w:r>
            <w:r w:rsidR="00B535EE">
              <w:rPr>
                <w:noProof/>
                <w:webHidden/>
              </w:rPr>
              <w:t>65</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83" w:history="1">
            <w:r w:rsidR="00B535EE" w:rsidRPr="00E87469">
              <w:rPr>
                <w:rStyle w:val="Hypertextovodkaz"/>
                <w:noProof/>
              </w:rPr>
              <w:t>2.4.10</w:t>
            </w:r>
            <w:r w:rsidR="00B535EE">
              <w:rPr>
                <w:rFonts w:asciiTheme="minorHAnsi" w:eastAsiaTheme="minorEastAsia" w:hAnsiTheme="minorHAnsi"/>
                <w:noProof/>
                <w:sz w:val="22"/>
                <w:lang w:eastAsia="cs-CZ"/>
              </w:rPr>
              <w:tab/>
            </w:r>
            <w:r w:rsidR="00B535EE" w:rsidRPr="00E87469">
              <w:rPr>
                <w:rStyle w:val="Hypertextovodkaz"/>
                <w:noProof/>
              </w:rPr>
              <w:t>Ukazatele kapitálové a majetkové struktury</w:t>
            </w:r>
            <w:r w:rsidR="00B535EE">
              <w:rPr>
                <w:noProof/>
                <w:webHidden/>
              </w:rPr>
              <w:tab/>
            </w:r>
            <w:r>
              <w:rPr>
                <w:noProof/>
                <w:webHidden/>
              </w:rPr>
              <w:fldChar w:fldCharType="begin"/>
            </w:r>
            <w:r w:rsidR="00B535EE">
              <w:rPr>
                <w:noProof/>
                <w:webHidden/>
              </w:rPr>
              <w:instrText xml:space="preserve"> PAGEREF _Toc31054483 \h </w:instrText>
            </w:r>
            <w:r>
              <w:rPr>
                <w:noProof/>
                <w:webHidden/>
              </w:rPr>
            </w:r>
            <w:r>
              <w:rPr>
                <w:noProof/>
                <w:webHidden/>
              </w:rPr>
              <w:fldChar w:fldCharType="separate"/>
            </w:r>
            <w:r w:rsidR="00B535EE">
              <w:rPr>
                <w:noProof/>
                <w:webHidden/>
              </w:rPr>
              <w:t>68</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84" w:history="1">
            <w:r w:rsidR="00B535EE" w:rsidRPr="00E87469">
              <w:rPr>
                <w:rStyle w:val="Hypertextovodkaz"/>
                <w:noProof/>
              </w:rPr>
              <w:t>2.4.11</w:t>
            </w:r>
            <w:r w:rsidR="00B535EE">
              <w:rPr>
                <w:rFonts w:asciiTheme="minorHAnsi" w:eastAsiaTheme="minorEastAsia" w:hAnsiTheme="minorHAnsi"/>
                <w:noProof/>
                <w:sz w:val="22"/>
                <w:lang w:eastAsia="cs-CZ"/>
              </w:rPr>
              <w:tab/>
            </w:r>
            <w:r w:rsidR="00B535EE" w:rsidRPr="00E87469">
              <w:rPr>
                <w:rStyle w:val="Hypertextovodkaz"/>
                <w:noProof/>
              </w:rPr>
              <w:t>Ukazatele rentability aktiv</w:t>
            </w:r>
            <w:r w:rsidR="00B535EE">
              <w:rPr>
                <w:noProof/>
                <w:webHidden/>
              </w:rPr>
              <w:tab/>
            </w:r>
            <w:r>
              <w:rPr>
                <w:noProof/>
                <w:webHidden/>
              </w:rPr>
              <w:fldChar w:fldCharType="begin"/>
            </w:r>
            <w:r w:rsidR="00B535EE">
              <w:rPr>
                <w:noProof/>
                <w:webHidden/>
              </w:rPr>
              <w:instrText xml:space="preserve"> PAGEREF _Toc31054484 \h </w:instrText>
            </w:r>
            <w:r>
              <w:rPr>
                <w:noProof/>
                <w:webHidden/>
              </w:rPr>
            </w:r>
            <w:r>
              <w:rPr>
                <w:noProof/>
                <w:webHidden/>
              </w:rPr>
              <w:fldChar w:fldCharType="separate"/>
            </w:r>
            <w:r w:rsidR="00B535EE">
              <w:rPr>
                <w:noProof/>
                <w:webHidden/>
              </w:rPr>
              <w:t>71</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85" w:history="1">
            <w:r w:rsidR="00B535EE" w:rsidRPr="00E87469">
              <w:rPr>
                <w:rStyle w:val="Hypertextovodkaz"/>
                <w:noProof/>
              </w:rPr>
              <w:t>2.4.12</w:t>
            </w:r>
            <w:r w:rsidR="00B535EE">
              <w:rPr>
                <w:rFonts w:asciiTheme="minorHAnsi" w:eastAsiaTheme="minorEastAsia" w:hAnsiTheme="minorHAnsi"/>
                <w:noProof/>
                <w:sz w:val="22"/>
                <w:lang w:eastAsia="cs-CZ"/>
              </w:rPr>
              <w:tab/>
            </w:r>
            <w:r w:rsidR="00B535EE" w:rsidRPr="00E87469">
              <w:rPr>
                <w:rStyle w:val="Hypertextovodkaz"/>
                <w:noProof/>
              </w:rPr>
              <w:t>Ukazatele doby obratu nepeněžních složek pracovního kapitálu</w:t>
            </w:r>
            <w:r w:rsidR="00B535EE">
              <w:rPr>
                <w:noProof/>
                <w:webHidden/>
              </w:rPr>
              <w:tab/>
            </w:r>
            <w:r>
              <w:rPr>
                <w:noProof/>
                <w:webHidden/>
              </w:rPr>
              <w:fldChar w:fldCharType="begin"/>
            </w:r>
            <w:r w:rsidR="00B535EE">
              <w:rPr>
                <w:noProof/>
                <w:webHidden/>
              </w:rPr>
              <w:instrText xml:space="preserve"> PAGEREF _Toc31054485 \h </w:instrText>
            </w:r>
            <w:r>
              <w:rPr>
                <w:noProof/>
                <w:webHidden/>
              </w:rPr>
            </w:r>
            <w:r>
              <w:rPr>
                <w:noProof/>
                <w:webHidden/>
              </w:rPr>
              <w:fldChar w:fldCharType="separate"/>
            </w:r>
            <w:r w:rsidR="00B535EE">
              <w:rPr>
                <w:noProof/>
                <w:webHidden/>
              </w:rPr>
              <w:t>73</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86" w:history="1">
            <w:r w:rsidR="00B535EE" w:rsidRPr="00E87469">
              <w:rPr>
                <w:rStyle w:val="Hypertextovodkaz"/>
                <w:noProof/>
              </w:rPr>
              <w:t>2.4.13</w:t>
            </w:r>
            <w:r w:rsidR="00B535EE">
              <w:rPr>
                <w:rFonts w:asciiTheme="minorHAnsi" w:eastAsiaTheme="minorEastAsia" w:hAnsiTheme="minorHAnsi"/>
                <w:noProof/>
                <w:sz w:val="22"/>
                <w:lang w:eastAsia="cs-CZ"/>
              </w:rPr>
              <w:tab/>
            </w:r>
            <w:r w:rsidR="00B535EE" w:rsidRPr="00E87469">
              <w:rPr>
                <w:rStyle w:val="Hypertextovodkaz"/>
                <w:noProof/>
              </w:rPr>
              <w:t>Závěr k analýze kategorií</w:t>
            </w:r>
            <w:r w:rsidR="00B535EE">
              <w:rPr>
                <w:noProof/>
                <w:webHidden/>
              </w:rPr>
              <w:tab/>
            </w:r>
            <w:r>
              <w:rPr>
                <w:noProof/>
                <w:webHidden/>
              </w:rPr>
              <w:fldChar w:fldCharType="begin"/>
            </w:r>
            <w:r w:rsidR="00B535EE">
              <w:rPr>
                <w:noProof/>
                <w:webHidden/>
              </w:rPr>
              <w:instrText xml:space="preserve"> PAGEREF _Toc31054486 \h </w:instrText>
            </w:r>
            <w:r>
              <w:rPr>
                <w:noProof/>
                <w:webHidden/>
              </w:rPr>
            </w:r>
            <w:r>
              <w:rPr>
                <w:noProof/>
                <w:webHidden/>
              </w:rPr>
              <w:fldChar w:fldCharType="separate"/>
            </w:r>
            <w:r w:rsidR="00B535EE">
              <w:rPr>
                <w:noProof/>
                <w:webHidden/>
              </w:rPr>
              <w:t>75</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87" w:history="1">
            <w:r w:rsidR="00B535EE" w:rsidRPr="00E87469">
              <w:rPr>
                <w:rStyle w:val="Hypertextovodkaz"/>
                <w:noProof/>
              </w:rPr>
              <w:t>2.4.14</w:t>
            </w:r>
            <w:r w:rsidR="00B535EE">
              <w:rPr>
                <w:rFonts w:asciiTheme="minorHAnsi" w:eastAsiaTheme="minorEastAsia" w:hAnsiTheme="minorHAnsi"/>
                <w:noProof/>
                <w:sz w:val="22"/>
                <w:lang w:eastAsia="cs-CZ"/>
              </w:rPr>
              <w:tab/>
            </w:r>
            <w:r w:rsidR="00B535EE" w:rsidRPr="00E87469">
              <w:rPr>
                <w:rStyle w:val="Hypertextovodkaz"/>
                <w:noProof/>
              </w:rPr>
              <w:t>Mezera krytí</w:t>
            </w:r>
            <w:r w:rsidR="00B535EE">
              <w:rPr>
                <w:noProof/>
                <w:webHidden/>
              </w:rPr>
              <w:tab/>
            </w:r>
            <w:r>
              <w:rPr>
                <w:noProof/>
                <w:webHidden/>
              </w:rPr>
              <w:fldChar w:fldCharType="begin"/>
            </w:r>
            <w:r w:rsidR="00B535EE">
              <w:rPr>
                <w:noProof/>
                <w:webHidden/>
              </w:rPr>
              <w:instrText xml:space="preserve"> PAGEREF _Toc31054487 \h </w:instrText>
            </w:r>
            <w:r>
              <w:rPr>
                <w:noProof/>
                <w:webHidden/>
              </w:rPr>
            </w:r>
            <w:r>
              <w:rPr>
                <w:noProof/>
                <w:webHidden/>
              </w:rPr>
              <w:fldChar w:fldCharType="separate"/>
            </w:r>
            <w:r w:rsidR="00B535EE">
              <w:rPr>
                <w:noProof/>
                <w:webHidden/>
              </w:rPr>
              <w:t>76</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88" w:history="1">
            <w:r w:rsidR="00B535EE" w:rsidRPr="00E87469">
              <w:rPr>
                <w:rStyle w:val="Hypertextovodkaz"/>
                <w:noProof/>
              </w:rPr>
              <w:t>2.4.15</w:t>
            </w:r>
            <w:r w:rsidR="00B535EE">
              <w:rPr>
                <w:rFonts w:asciiTheme="minorHAnsi" w:eastAsiaTheme="minorEastAsia" w:hAnsiTheme="minorHAnsi"/>
                <w:noProof/>
                <w:sz w:val="22"/>
                <w:lang w:eastAsia="cs-CZ"/>
              </w:rPr>
              <w:tab/>
            </w:r>
            <w:r w:rsidR="00B535EE" w:rsidRPr="00E87469">
              <w:rPr>
                <w:rStyle w:val="Hypertextovodkaz"/>
                <w:noProof/>
              </w:rPr>
              <w:t>Výskyt mezery krytí</w:t>
            </w:r>
            <w:r w:rsidR="00B535EE">
              <w:rPr>
                <w:noProof/>
                <w:webHidden/>
              </w:rPr>
              <w:tab/>
            </w:r>
            <w:r>
              <w:rPr>
                <w:noProof/>
                <w:webHidden/>
              </w:rPr>
              <w:fldChar w:fldCharType="begin"/>
            </w:r>
            <w:r w:rsidR="00B535EE">
              <w:rPr>
                <w:noProof/>
                <w:webHidden/>
              </w:rPr>
              <w:instrText xml:space="preserve"> PAGEREF _Toc31054488 \h </w:instrText>
            </w:r>
            <w:r>
              <w:rPr>
                <w:noProof/>
                <w:webHidden/>
              </w:rPr>
            </w:r>
            <w:r>
              <w:rPr>
                <w:noProof/>
                <w:webHidden/>
              </w:rPr>
              <w:fldChar w:fldCharType="separate"/>
            </w:r>
            <w:r w:rsidR="00B535EE">
              <w:rPr>
                <w:noProof/>
                <w:webHidden/>
              </w:rPr>
              <w:t>76</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89" w:history="1">
            <w:r w:rsidR="00B535EE" w:rsidRPr="00E87469">
              <w:rPr>
                <w:rStyle w:val="Hypertextovodkaz"/>
                <w:noProof/>
              </w:rPr>
              <w:t>2.4.16</w:t>
            </w:r>
            <w:r w:rsidR="00B535EE">
              <w:rPr>
                <w:rFonts w:asciiTheme="minorHAnsi" w:eastAsiaTheme="minorEastAsia" w:hAnsiTheme="minorHAnsi"/>
                <w:noProof/>
                <w:sz w:val="22"/>
                <w:lang w:eastAsia="cs-CZ"/>
              </w:rPr>
              <w:tab/>
            </w:r>
            <w:r w:rsidR="00B535EE" w:rsidRPr="00E87469">
              <w:rPr>
                <w:rStyle w:val="Hypertextovodkaz"/>
                <w:noProof/>
              </w:rPr>
              <w:t>Závěr k mezeře krytí</w:t>
            </w:r>
            <w:r w:rsidR="00B535EE">
              <w:rPr>
                <w:noProof/>
                <w:webHidden/>
              </w:rPr>
              <w:tab/>
            </w:r>
            <w:r>
              <w:rPr>
                <w:noProof/>
                <w:webHidden/>
              </w:rPr>
              <w:fldChar w:fldCharType="begin"/>
            </w:r>
            <w:r w:rsidR="00B535EE">
              <w:rPr>
                <w:noProof/>
                <w:webHidden/>
              </w:rPr>
              <w:instrText xml:space="preserve"> PAGEREF _Toc31054489 \h </w:instrText>
            </w:r>
            <w:r>
              <w:rPr>
                <w:noProof/>
                <w:webHidden/>
              </w:rPr>
            </w:r>
            <w:r>
              <w:rPr>
                <w:noProof/>
                <w:webHidden/>
              </w:rPr>
              <w:fldChar w:fldCharType="separate"/>
            </w:r>
            <w:r w:rsidR="00B535EE">
              <w:rPr>
                <w:noProof/>
                <w:webHidden/>
              </w:rPr>
              <w:t>76</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90" w:history="1">
            <w:r w:rsidR="00B535EE" w:rsidRPr="00E87469">
              <w:rPr>
                <w:rStyle w:val="Hypertextovodkaz"/>
                <w:noProof/>
              </w:rPr>
              <w:t>2.4.17</w:t>
            </w:r>
            <w:r w:rsidR="00B535EE">
              <w:rPr>
                <w:rFonts w:asciiTheme="minorHAnsi" w:eastAsiaTheme="minorEastAsia" w:hAnsiTheme="minorHAnsi"/>
                <w:noProof/>
                <w:sz w:val="22"/>
                <w:lang w:eastAsia="cs-CZ"/>
              </w:rPr>
              <w:tab/>
            </w:r>
            <w:r w:rsidR="00B535EE" w:rsidRPr="00E87469">
              <w:rPr>
                <w:rStyle w:val="Hypertextovodkaz"/>
                <w:noProof/>
              </w:rPr>
              <w:t>Shrnutí</w:t>
            </w:r>
            <w:r w:rsidR="00B535EE">
              <w:rPr>
                <w:noProof/>
                <w:webHidden/>
              </w:rPr>
              <w:tab/>
            </w:r>
            <w:r>
              <w:rPr>
                <w:noProof/>
                <w:webHidden/>
              </w:rPr>
              <w:fldChar w:fldCharType="begin"/>
            </w:r>
            <w:r w:rsidR="00B535EE">
              <w:rPr>
                <w:noProof/>
                <w:webHidden/>
              </w:rPr>
              <w:instrText xml:space="preserve"> PAGEREF _Toc31054490 \h </w:instrText>
            </w:r>
            <w:r>
              <w:rPr>
                <w:noProof/>
                <w:webHidden/>
              </w:rPr>
            </w:r>
            <w:r>
              <w:rPr>
                <w:noProof/>
                <w:webHidden/>
              </w:rPr>
              <w:fldChar w:fldCharType="separate"/>
            </w:r>
            <w:r w:rsidR="00B535EE">
              <w:rPr>
                <w:noProof/>
                <w:webHidden/>
              </w:rPr>
              <w:t>77</w:t>
            </w:r>
            <w:r>
              <w:rPr>
                <w:noProof/>
                <w:webHidden/>
              </w:rPr>
              <w:fldChar w:fldCharType="end"/>
            </w:r>
          </w:hyperlink>
        </w:p>
        <w:p w:rsidR="00B535EE" w:rsidRDefault="00163A91">
          <w:pPr>
            <w:pStyle w:val="Obsah3"/>
            <w:tabs>
              <w:tab w:val="left" w:pos="1320"/>
              <w:tab w:val="right" w:leader="dot" w:pos="9062"/>
            </w:tabs>
            <w:rPr>
              <w:rFonts w:asciiTheme="minorHAnsi" w:eastAsiaTheme="minorEastAsia" w:hAnsiTheme="minorHAnsi"/>
              <w:noProof/>
              <w:sz w:val="22"/>
              <w:lang w:eastAsia="cs-CZ"/>
            </w:rPr>
          </w:pPr>
          <w:hyperlink w:anchor="_Toc31054491" w:history="1">
            <w:r w:rsidR="00B535EE" w:rsidRPr="00E87469">
              <w:rPr>
                <w:rStyle w:val="Hypertextovodkaz"/>
                <w:noProof/>
              </w:rPr>
              <w:t>2.4.18</w:t>
            </w:r>
            <w:r w:rsidR="00B535EE">
              <w:rPr>
                <w:rFonts w:asciiTheme="minorHAnsi" w:eastAsiaTheme="minorEastAsia" w:hAnsiTheme="minorHAnsi"/>
                <w:noProof/>
                <w:sz w:val="22"/>
                <w:lang w:eastAsia="cs-CZ"/>
              </w:rPr>
              <w:tab/>
            </w:r>
            <w:r w:rsidR="00B535EE" w:rsidRPr="00E87469">
              <w:rPr>
                <w:rStyle w:val="Hypertextovodkaz"/>
                <w:noProof/>
              </w:rPr>
              <w:t>Výsledky diskuse</w:t>
            </w:r>
            <w:r w:rsidR="00B535EE">
              <w:rPr>
                <w:noProof/>
                <w:webHidden/>
              </w:rPr>
              <w:tab/>
            </w:r>
            <w:r>
              <w:rPr>
                <w:noProof/>
                <w:webHidden/>
              </w:rPr>
              <w:fldChar w:fldCharType="begin"/>
            </w:r>
            <w:r w:rsidR="00B535EE">
              <w:rPr>
                <w:noProof/>
                <w:webHidden/>
              </w:rPr>
              <w:instrText xml:space="preserve"> PAGEREF _Toc31054491 \h </w:instrText>
            </w:r>
            <w:r>
              <w:rPr>
                <w:noProof/>
                <w:webHidden/>
              </w:rPr>
            </w:r>
            <w:r>
              <w:rPr>
                <w:noProof/>
                <w:webHidden/>
              </w:rPr>
              <w:fldChar w:fldCharType="separate"/>
            </w:r>
            <w:r w:rsidR="00B535EE">
              <w:rPr>
                <w:noProof/>
                <w:webHidden/>
              </w:rPr>
              <w:t>77</w:t>
            </w:r>
            <w:r>
              <w:rPr>
                <w:noProof/>
                <w:webHidden/>
              </w:rPr>
              <w:fldChar w:fldCharType="end"/>
            </w:r>
          </w:hyperlink>
        </w:p>
        <w:p w:rsidR="00B535EE" w:rsidRDefault="00163A91">
          <w:pPr>
            <w:pStyle w:val="Obsah1"/>
            <w:tabs>
              <w:tab w:val="left" w:pos="440"/>
              <w:tab w:val="right" w:leader="dot" w:pos="9062"/>
            </w:tabs>
            <w:rPr>
              <w:rFonts w:asciiTheme="minorHAnsi" w:eastAsiaTheme="minorEastAsia" w:hAnsiTheme="minorHAnsi"/>
              <w:noProof/>
              <w:sz w:val="22"/>
              <w:lang w:eastAsia="cs-CZ"/>
            </w:rPr>
          </w:pPr>
          <w:hyperlink w:anchor="_Toc31054492" w:history="1">
            <w:r w:rsidR="00B535EE" w:rsidRPr="00E87469">
              <w:rPr>
                <w:rStyle w:val="Hypertextovodkaz"/>
                <w:noProof/>
              </w:rPr>
              <w:t>3.</w:t>
            </w:r>
            <w:r w:rsidR="00B535EE">
              <w:rPr>
                <w:rFonts w:asciiTheme="minorHAnsi" w:eastAsiaTheme="minorEastAsia" w:hAnsiTheme="minorHAnsi"/>
                <w:noProof/>
                <w:sz w:val="22"/>
                <w:lang w:eastAsia="cs-CZ"/>
              </w:rPr>
              <w:tab/>
            </w:r>
            <w:r w:rsidR="00B535EE" w:rsidRPr="00E87469">
              <w:rPr>
                <w:rStyle w:val="Hypertextovodkaz"/>
                <w:noProof/>
              </w:rPr>
              <w:t>Shrnutí (ekonomické-právní aspekty) a doporučení (externího aplikačního garanta)</w:t>
            </w:r>
            <w:r w:rsidR="00B535EE">
              <w:rPr>
                <w:noProof/>
                <w:webHidden/>
              </w:rPr>
              <w:tab/>
            </w:r>
            <w:r>
              <w:rPr>
                <w:noProof/>
                <w:webHidden/>
              </w:rPr>
              <w:fldChar w:fldCharType="begin"/>
            </w:r>
            <w:r w:rsidR="00B535EE">
              <w:rPr>
                <w:noProof/>
                <w:webHidden/>
              </w:rPr>
              <w:instrText xml:space="preserve"> PAGEREF _Toc31054492 \h </w:instrText>
            </w:r>
            <w:r>
              <w:rPr>
                <w:noProof/>
                <w:webHidden/>
              </w:rPr>
            </w:r>
            <w:r>
              <w:rPr>
                <w:noProof/>
                <w:webHidden/>
              </w:rPr>
              <w:fldChar w:fldCharType="separate"/>
            </w:r>
            <w:r w:rsidR="00B535EE">
              <w:rPr>
                <w:noProof/>
                <w:webHidden/>
              </w:rPr>
              <w:t>79</w:t>
            </w:r>
            <w:r>
              <w:rPr>
                <w:noProof/>
                <w:webHidden/>
              </w:rPr>
              <w:fldChar w:fldCharType="end"/>
            </w:r>
          </w:hyperlink>
        </w:p>
        <w:p w:rsidR="00B535EE" w:rsidRDefault="00163A91">
          <w:pPr>
            <w:pStyle w:val="Obsah2"/>
            <w:tabs>
              <w:tab w:val="left" w:pos="880"/>
              <w:tab w:val="right" w:leader="dot" w:pos="9062"/>
            </w:tabs>
            <w:rPr>
              <w:rFonts w:asciiTheme="minorHAnsi" w:eastAsiaTheme="minorEastAsia" w:hAnsiTheme="minorHAnsi"/>
              <w:noProof/>
              <w:sz w:val="22"/>
              <w:lang w:eastAsia="cs-CZ"/>
            </w:rPr>
          </w:pPr>
          <w:hyperlink w:anchor="_Toc31054493" w:history="1">
            <w:r w:rsidR="00B535EE" w:rsidRPr="00E87469">
              <w:rPr>
                <w:rStyle w:val="Hypertextovodkaz"/>
                <w:noProof/>
              </w:rPr>
              <w:t>3.1</w:t>
            </w:r>
            <w:r w:rsidR="00B535EE">
              <w:rPr>
                <w:rFonts w:asciiTheme="minorHAnsi" w:eastAsiaTheme="minorEastAsia" w:hAnsiTheme="minorHAnsi"/>
                <w:noProof/>
                <w:sz w:val="22"/>
                <w:lang w:eastAsia="cs-CZ"/>
              </w:rPr>
              <w:tab/>
            </w:r>
            <w:r w:rsidR="00B535EE" w:rsidRPr="00E87469">
              <w:rPr>
                <w:rStyle w:val="Hypertextovodkaz"/>
                <w:noProof/>
              </w:rPr>
              <w:t>Ponechání dispozičních oprávněních a iniciativy na podnikateli</w:t>
            </w:r>
            <w:r w:rsidR="00B535EE">
              <w:rPr>
                <w:noProof/>
                <w:webHidden/>
              </w:rPr>
              <w:tab/>
            </w:r>
            <w:r>
              <w:rPr>
                <w:noProof/>
                <w:webHidden/>
              </w:rPr>
              <w:fldChar w:fldCharType="begin"/>
            </w:r>
            <w:r w:rsidR="00B535EE">
              <w:rPr>
                <w:noProof/>
                <w:webHidden/>
              </w:rPr>
              <w:instrText xml:space="preserve"> PAGEREF _Toc31054493 \h </w:instrText>
            </w:r>
            <w:r>
              <w:rPr>
                <w:noProof/>
                <w:webHidden/>
              </w:rPr>
            </w:r>
            <w:r>
              <w:rPr>
                <w:noProof/>
                <w:webHidden/>
              </w:rPr>
              <w:fldChar w:fldCharType="separate"/>
            </w:r>
            <w:r w:rsidR="00B535EE">
              <w:rPr>
                <w:noProof/>
                <w:webHidden/>
              </w:rPr>
              <w:t>79</w:t>
            </w:r>
            <w:r>
              <w:rPr>
                <w:noProof/>
                <w:webHidden/>
              </w:rPr>
              <w:fldChar w:fldCharType="end"/>
            </w:r>
          </w:hyperlink>
        </w:p>
        <w:p w:rsidR="00B535EE" w:rsidRDefault="00163A91">
          <w:pPr>
            <w:pStyle w:val="Obsah2"/>
            <w:tabs>
              <w:tab w:val="left" w:pos="880"/>
              <w:tab w:val="right" w:leader="dot" w:pos="9062"/>
            </w:tabs>
            <w:rPr>
              <w:rFonts w:asciiTheme="minorHAnsi" w:eastAsiaTheme="minorEastAsia" w:hAnsiTheme="minorHAnsi"/>
              <w:noProof/>
              <w:sz w:val="22"/>
              <w:lang w:eastAsia="cs-CZ"/>
            </w:rPr>
          </w:pPr>
          <w:hyperlink w:anchor="_Toc31054494" w:history="1">
            <w:r w:rsidR="00B535EE" w:rsidRPr="00E87469">
              <w:rPr>
                <w:rStyle w:val="Hypertextovodkaz"/>
                <w:noProof/>
              </w:rPr>
              <w:t>3.2</w:t>
            </w:r>
            <w:r w:rsidR="00B535EE">
              <w:rPr>
                <w:rFonts w:asciiTheme="minorHAnsi" w:eastAsiaTheme="minorEastAsia" w:hAnsiTheme="minorHAnsi"/>
                <w:noProof/>
                <w:sz w:val="22"/>
                <w:lang w:eastAsia="cs-CZ"/>
              </w:rPr>
              <w:tab/>
            </w:r>
            <w:r w:rsidR="00B535EE" w:rsidRPr="00E87469">
              <w:rPr>
                <w:rStyle w:val="Hypertextovodkaz"/>
                <w:noProof/>
              </w:rPr>
              <w:t>Udržení vysokého konsenzu mezi podnikatelem a jeho věřiteli</w:t>
            </w:r>
            <w:r w:rsidR="00B535EE">
              <w:rPr>
                <w:noProof/>
                <w:webHidden/>
              </w:rPr>
              <w:tab/>
            </w:r>
            <w:r>
              <w:rPr>
                <w:noProof/>
                <w:webHidden/>
              </w:rPr>
              <w:fldChar w:fldCharType="begin"/>
            </w:r>
            <w:r w:rsidR="00B535EE">
              <w:rPr>
                <w:noProof/>
                <w:webHidden/>
              </w:rPr>
              <w:instrText xml:space="preserve"> PAGEREF _Toc31054494 \h </w:instrText>
            </w:r>
            <w:r>
              <w:rPr>
                <w:noProof/>
                <w:webHidden/>
              </w:rPr>
            </w:r>
            <w:r>
              <w:rPr>
                <w:noProof/>
                <w:webHidden/>
              </w:rPr>
              <w:fldChar w:fldCharType="separate"/>
            </w:r>
            <w:r w:rsidR="00B535EE">
              <w:rPr>
                <w:noProof/>
                <w:webHidden/>
              </w:rPr>
              <w:t>79</w:t>
            </w:r>
            <w:r>
              <w:rPr>
                <w:noProof/>
                <w:webHidden/>
              </w:rPr>
              <w:fldChar w:fldCharType="end"/>
            </w:r>
          </w:hyperlink>
        </w:p>
        <w:p w:rsidR="00B535EE" w:rsidRDefault="00163A91">
          <w:pPr>
            <w:pStyle w:val="Obsah2"/>
            <w:tabs>
              <w:tab w:val="left" w:pos="880"/>
              <w:tab w:val="right" w:leader="dot" w:pos="9062"/>
            </w:tabs>
            <w:rPr>
              <w:rFonts w:asciiTheme="minorHAnsi" w:eastAsiaTheme="minorEastAsia" w:hAnsiTheme="minorHAnsi"/>
              <w:noProof/>
              <w:sz w:val="22"/>
              <w:lang w:eastAsia="cs-CZ"/>
            </w:rPr>
          </w:pPr>
          <w:hyperlink w:anchor="_Toc31054495" w:history="1">
            <w:r w:rsidR="00B535EE" w:rsidRPr="00E87469">
              <w:rPr>
                <w:rStyle w:val="Hypertextovodkaz"/>
                <w:noProof/>
              </w:rPr>
              <w:t>3.3</w:t>
            </w:r>
            <w:r w:rsidR="00B535EE">
              <w:rPr>
                <w:rFonts w:asciiTheme="minorHAnsi" w:eastAsiaTheme="minorEastAsia" w:hAnsiTheme="minorHAnsi"/>
                <w:noProof/>
                <w:sz w:val="22"/>
                <w:lang w:eastAsia="cs-CZ"/>
              </w:rPr>
              <w:tab/>
            </w:r>
            <w:r w:rsidR="00B535EE" w:rsidRPr="00E87469">
              <w:rPr>
                <w:rStyle w:val="Hypertextovodkaz"/>
                <w:noProof/>
              </w:rPr>
              <w:t>Existence životaschopného podnikatele, včasnost zahájení procesu restrukturalizace</w:t>
            </w:r>
            <w:r w:rsidR="00B535EE">
              <w:rPr>
                <w:noProof/>
                <w:webHidden/>
              </w:rPr>
              <w:tab/>
            </w:r>
            <w:r>
              <w:rPr>
                <w:noProof/>
                <w:webHidden/>
              </w:rPr>
              <w:fldChar w:fldCharType="begin"/>
            </w:r>
            <w:r w:rsidR="00B535EE">
              <w:rPr>
                <w:noProof/>
                <w:webHidden/>
              </w:rPr>
              <w:instrText xml:space="preserve"> PAGEREF _Toc31054495 \h </w:instrText>
            </w:r>
            <w:r>
              <w:rPr>
                <w:noProof/>
                <w:webHidden/>
              </w:rPr>
            </w:r>
            <w:r>
              <w:rPr>
                <w:noProof/>
                <w:webHidden/>
              </w:rPr>
              <w:fldChar w:fldCharType="separate"/>
            </w:r>
            <w:r w:rsidR="00B535EE">
              <w:rPr>
                <w:noProof/>
                <w:webHidden/>
              </w:rPr>
              <w:t>79</w:t>
            </w:r>
            <w:r>
              <w:rPr>
                <w:noProof/>
                <w:webHidden/>
              </w:rPr>
              <w:fldChar w:fldCharType="end"/>
            </w:r>
          </w:hyperlink>
        </w:p>
        <w:p w:rsidR="00B535EE" w:rsidRDefault="00163A91">
          <w:pPr>
            <w:pStyle w:val="Obsah2"/>
            <w:tabs>
              <w:tab w:val="left" w:pos="880"/>
              <w:tab w:val="right" w:leader="dot" w:pos="9062"/>
            </w:tabs>
            <w:rPr>
              <w:rFonts w:asciiTheme="minorHAnsi" w:eastAsiaTheme="minorEastAsia" w:hAnsiTheme="minorHAnsi"/>
              <w:noProof/>
              <w:sz w:val="22"/>
              <w:lang w:eastAsia="cs-CZ"/>
            </w:rPr>
          </w:pPr>
          <w:hyperlink w:anchor="_Toc31054496" w:history="1">
            <w:r w:rsidR="00B535EE" w:rsidRPr="00E87469">
              <w:rPr>
                <w:rStyle w:val="Hypertextovodkaz"/>
                <w:noProof/>
              </w:rPr>
              <w:t>3.4</w:t>
            </w:r>
            <w:r w:rsidR="00B535EE">
              <w:rPr>
                <w:rFonts w:asciiTheme="minorHAnsi" w:eastAsiaTheme="minorEastAsia" w:hAnsiTheme="minorHAnsi"/>
                <w:noProof/>
                <w:sz w:val="22"/>
                <w:lang w:eastAsia="cs-CZ"/>
              </w:rPr>
              <w:tab/>
            </w:r>
            <w:r w:rsidR="00B535EE" w:rsidRPr="00E87469">
              <w:rPr>
                <w:rStyle w:val="Hypertextovodkaz"/>
                <w:noProof/>
              </w:rPr>
              <w:t>Jednoduchost procesu preventivní restrukturalizace</w:t>
            </w:r>
            <w:r w:rsidR="00B535EE">
              <w:rPr>
                <w:noProof/>
                <w:webHidden/>
              </w:rPr>
              <w:tab/>
            </w:r>
            <w:r>
              <w:rPr>
                <w:noProof/>
                <w:webHidden/>
              </w:rPr>
              <w:fldChar w:fldCharType="begin"/>
            </w:r>
            <w:r w:rsidR="00B535EE">
              <w:rPr>
                <w:noProof/>
                <w:webHidden/>
              </w:rPr>
              <w:instrText xml:space="preserve"> PAGEREF _Toc31054496 \h </w:instrText>
            </w:r>
            <w:r>
              <w:rPr>
                <w:noProof/>
                <w:webHidden/>
              </w:rPr>
            </w:r>
            <w:r>
              <w:rPr>
                <w:noProof/>
                <w:webHidden/>
              </w:rPr>
              <w:fldChar w:fldCharType="separate"/>
            </w:r>
            <w:r w:rsidR="00B535EE">
              <w:rPr>
                <w:noProof/>
                <w:webHidden/>
              </w:rPr>
              <w:t>79</w:t>
            </w:r>
            <w:r>
              <w:rPr>
                <w:noProof/>
                <w:webHidden/>
              </w:rPr>
              <w:fldChar w:fldCharType="end"/>
            </w:r>
          </w:hyperlink>
        </w:p>
        <w:p w:rsidR="00B535EE" w:rsidRDefault="00163A91">
          <w:pPr>
            <w:pStyle w:val="Obsah2"/>
            <w:tabs>
              <w:tab w:val="left" w:pos="880"/>
              <w:tab w:val="right" w:leader="dot" w:pos="9062"/>
            </w:tabs>
            <w:rPr>
              <w:rFonts w:asciiTheme="minorHAnsi" w:eastAsiaTheme="minorEastAsia" w:hAnsiTheme="minorHAnsi"/>
              <w:noProof/>
              <w:sz w:val="22"/>
              <w:lang w:eastAsia="cs-CZ"/>
            </w:rPr>
          </w:pPr>
          <w:hyperlink w:anchor="_Toc31054497" w:history="1">
            <w:r w:rsidR="00B535EE" w:rsidRPr="00E87469">
              <w:rPr>
                <w:rStyle w:val="Hypertextovodkaz"/>
                <w:noProof/>
              </w:rPr>
              <w:t>3.5</w:t>
            </w:r>
            <w:r w:rsidR="00B535EE">
              <w:rPr>
                <w:rFonts w:asciiTheme="minorHAnsi" w:eastAsiaTheme="minorEastAsia" w:hAnsiTheme="minorHAnsi"/>
                <w:noProof/>
                <w:sz w:val="22"/>
                <w:lang w:eastAsia="cs-CZ"/>
              </w:rPr>
              <w:tab/>
            </w:r>
            <w:r w:rsidR="00B535EE" w:rsidRPr="00E87469">
              <w:rPr>
                <w:rStyle w:val="Hypertextovodkaz"/>
                <w:noProof/>
              </w:rPr>
              <w:t>Odstranění daňové diskriminace</w:t>
            </w:r>
            <w:r w:rsidR="00B535EE">
              <w:rPr>
                <w:noProof/>
                <w:webHidden/>
              </w:rPr>
              <w:tab/>
            </w:r>
            <w:r>
              <w:rPr>
                <w:noProof/>
                <w:webHidden/>
              </w:rPr>
              <w:fldChar w:fldCharType="begin"/>
            </w:r>
            <w:r w:rsidR="00B535EE">
              <w:rPr>
                <w:noProof/>
                <w:webHidden/>
              </w:rPr>
              <w:instrText xml:space="preserve"> PAGEREF _Toc31054497 \h </w:instrText>
            </w:r>
            <w:r>
              <w:rPr>
                <w:noProof/>
                <w:webHidden/>
              </w:rPr>
            </w:r>
            <w:r>
              <w:rPr>
                <w:noProof/>
                <w:webHidden/>
              </w:rPr>
              <w:fldChar w:fldCharType="separate"/>
            </w:r>
            <w:r w:rsidR="00B535EE">
              <w:rPr>
                <w:noProof/>
                <w:webHidden/>
              </w:rPr>
              <w:t>79</w:t>
            </w:r>
            <w:r>
              <w:rPr>
                <w:noProof/>
                <w:webHidden/>
              </w:rPr>
              <w:fldChar w:fldCharType="end"/>
            </w:r>
          </w:hyperlink>
        </w:p>
        <w:p w:rsidR="00B535EE" w:rsidRDefault="00163A91">
          <w:pPr>
            <w:pStyle w:val="Obsah2"/>
            <w:tabs>
              <w:tab w:val="left" w:pos="880"/>
              <w:tab w:val="right" w:leader="dot" w:pos="9062"/>
            </w:tabs>
            <w:rPr>
              <w:rFonts w:asciiTheme="minorHAnsi" w:eastAsiaTheme="minorEastAsia" w:hAnsiTheme="minorHAnsi"/>
              <w:noProof/>
              <w:sz w:val="22"/>
              <w:lang w:eastAsia="cs-CZ"/>
            </w:rPr>
          </w:pPr>
          <w:hyperlink w:anchor="_Toc31054498" w:history="1">
            <w:r w:rsidR="00B535EE" w:rsidRPr="00E87469">
              <w:rPr>
                <w:rStyle w:val="Hypertextovodkaz"/>
                <w:noProof/>
              </w:rPr>
              <w:t>3.6</w:t>
            </w:r>
            <w:r w:rsidR="00B535EE">
              <w:rPr>
                <w:rFonts w:asciiTheme="minorHAnsi" w:eastAsiaTheme="minorEastAsia" w:hAnsiTheme="minorHAnsi"/>
                <w:noProof/>
                <w:sz w:val="22"/>
                <w:lang w:eastAsia="cs-CZ"/>
              </w:rPr>
              <w:tab/>
            </w:r>
            <w:r w:rsidR="00B535EE" w:rsidRPr="00E87469">
              <w:rPr>
                <w:rStyle w:val="Hypertextovodkaz"/>
                <w:noProof/>
              </w:rPr>
              <w:t>Vyšší dostupnost externího financování</w:t>
            </w:r>
            <w:r w:rsidR="00B535EE">
              <w:rPr>
                <w:noProof/>
                <w:webHidden/>
              </w:rPr>
              <w:tab/>
            </w:r>
            <w:r>
              <w:rPr>
                <w:noProof/>
                <w:webHidden/>
              </w:rPr>
              <w:fldChar w:fldCharType="begin"/>
            </w:r>
            <w:r w:rsidR="00B535EE">
              <w:rPr>
                <w:noProof/>
                <w:webHidden/>
              </w:rPr>
              <w:instrText xml:space="preserve"> PAGEREF _Toc31054498 \h </w:instrText>
            </w:r>
            <w:r>
              <w:rPr>
                <w:noProof/>
                <w:webHidden/>
              </w:rPr>
            </w:r>
            <w:r>
              <w:rPr>
                <w:noProof/>
                <w:webHidden/>
              </w:rPr>
              <w:fldChar w:fldCharType="separate"/>
            </w:r>
            <w:r w:rsidR="00B535EE">
              <w:rPr>
                <w:noProof/>
                <w:webHidden/>
              </w:rPr>
              <w:t>80</w:t>
            </w:r>
            <w:r>
              <w:rPr>
                <w:noProof/>
                <w:webHidden/>
              </w:rPr>
              <w:fldChar w:fldCharType="end"/>
            </w:r>
          </w:hyperlink>
        </w:p>
        <w:p w:rsidR="00B535EE" w:rsidRDefault="00163A91">
          <w:pPr>
            <w:pStyle w:val="Obsah2"/>
            <w:tabs>
              <w:tab w:val="left" w:pos="880"/>
              <w:tab w:val="right" w:leader="dot" w:pos="9062"/>
            </w:tabs>
            <w:rPr>
              <w:rFonts w:asciiTheme="minorHAnsi" w:eastAsiaTheme="minorEastAsia" w:hAnsiTheme="minorHAnsi"/>
              <w:noProof/>
              <w:sz w:val="22"/>
              <w:lang w:eastAsia="cs-CZ"/>
            </w:rPr>
          </w:pPr>
          <w:hyperlink w:anchor="_Toc31054499" w:history="1">
            <w:r w:rsidR="00B535EE" w:rsidRPr="00E87469">
              <w:rPr>
                <w:rStyle w:val="Hypertextovodkaz"/>
                <w:noProof/>
              </w:rPr>
              <w:t>3.7</w:t>
            </w:r>
            <w:r w:rsidR="00B535EE">
              <w:rPr>
                <w:rFonts w:asciiTheme="minorHAnsi" w:eastAsiaTheme="minorEastAsia" w:hAnsiTheme="minorHAnsi"/>
                <w:noProof/>
                <w:sz w:val="22"/>
                <w:lang w:eastAsia="cs-CZ"/>
              </w:rPr>
              <w:tab/>
            </w:r>
            <w:r w:rsidR="00B535EE" w:rsidRPr="00E87469">
              <w:rPr>
                <w:rStyle w:val="Hypertextovodkaz"/>
                <w:noProof/>
              </w:rPr>
              <w:t>Minimalizace negativního stigmatizace podnikatele v potížích</w:t>
            </w:r>
            <w:r w:rsidR="00B535EE">
              <w:rPr>
                <w:noProof/>
                <w:webHidden/>
              </w:rPr>
              <w:tab/>
            </w:r>
            <w:r>
              <w:rPr>
                <w:noProof/>
                <w:webHidden/>
              </w:rPr>
              <w:fldChar w:fldCharType="begin"/>
            </w:r>
            <w:r w:rsidR="00B535EE">
              <w:rPr>
                <w:noProof/>
                <w:webHidden/>
              </w:rPr>
              <w:instrText xml:space="preserve"> PAGEREF _Toc31054499 \h </w:instrText>
            </w:r>
            <w:r>
              <w:rPr>
                <w:noProof/>
                <w:webHidden/>
              </w:rPr>
            </w:r>
            <w:r>
              <w:rPr>
                <w:noProof/>
                <w:webHidden/>
              </w:rPr>
              <w:fldChar w:fldCharType="separate"/>
            </w:r>
            <w:r w:rsidR="00B535EE">
              <w:rPr>
                <w:noProof/>
                <w:webHidden/>
              </w:rPr>
              <w:t>80</w:t>
            </w:r>
            <w:r>
              <w:rPr>
                <w:noProof/>
                <w:webHidden/>
              </w:rPr>
              <w:fldChar w:fldCharType="end"/>
            </w:r>
          </w:hyperlink>
        </w:p>
        <w:p w:rsidR="00B535EE" w:rsidRDefault="00163A91">
          <w:pPr>
            <w:pStyle w:val="Obsah1"/>
            <w:tabs>
              <w:tab w:val="left" w:pos="440"/>
              <w:tab w:val="right" w:leader="dot" w:pos="9062"/>
            </w:tabs>
            <w:rPr>
              <w:rFonts w:asciiTheme="minorHAnsi" w:eastAsiaTheme="minorEastAsia" w:hAnsiTheme="minorHAnsi"/>
              <w:noProof/>
              <w:sz w:val="22"/>
              <w:lang w:eastAsia="cs-CZ"/>
            </w:rPr>
          </w:pPr>
          <w:hyperlink w:anchor="_Toc31054500" w:history="1">
            <w:r w:rsidR="00B535EE" w:rsidRPr="00E87469">
              <w:rPr>
                <w:rStyle w:val="Hypertextovodkaz"/>
                <w:noProof/>
              </w:rPr>
              <w:t>4.</w:t>
            </w:r>
            <w:r w:rsidR="00B535EE">
              <w:rPr>
                <w:rFonts w:asciiTheme="minorHAnsi" w:eastAsiaTheme="minorEastAsia" w:hAnsiTheme="minorHAnsi"/>
                <w:noProof/>
                <w:sz w:val="22"/>
                <w:lang w:eastAsia="cs-CZ"/>
              </w:rPr>
              <w:tab/>
            </w:r>
            <w:r w:rsidR="00B535EE" w:rsidRPr="00E87469">
              <w:rPr>
                <w:rStyle w:val="Hypertextovodkaz"/>
                <w:noProof/>
              </w:rPr>
              <w:t>Závěr provedeným ekonomicko-statistickým analýzám</w:t>
            </w:r>
            <w:r w:rsidR="00B535EE">
              <w:rPr>
                <w:noProof/>
                <w:webHidden/>
              </w:rPr>
              <w:tab/>
            </w:r>
            <w:r>
              <w:rPr>
                <w:noProof/>
                <w:webHidden/>
              </w:rPr>
              <w:fldChar w:fldCharType="begin"/>
            </w:r>
            <w:r w:rsidR="00B535EE">
              <w:rPr>
                <w:noProof/>
                <w:webHidden/>
              </w:rPr>
              <w:instrText xml:space="preserve"> PAGEREF _Toc31054500 \h </w:instrText>
            </w:r>
            <w:r>
              <w:rPr>
                <w:noProof/>
                <w:webHidden/>
              </w:rPr>
            </w:r>
            <w:r>
              <w:rPr>
                <w:noProof/>
                <w:webHidden/>
              </w:rPr>
              <w:fldChar w:fldCharType="separate"/>
            </w:r>
            <w:r w:rsidR="00B535EE">
              <w:rPr>
                <w:noProof/>
                <w:webHidden/>
              </w:rPr>
              <w:t>80</w:t>
            </w:r>
            <w:r>
              <w:rPr>
                <w:noProof/>
                <w:webHidden/>
              </w:rPr>
              <w:fldChar w:fldCharType="end"/>
            </w:r>
          </w:hyperlink>
        </w:p>
        <w:p w:rsidR="00B535EE" w:rsidRDefault="00163A91">
          <w:pPr>
            <w:pStyle w:val="Obsah1"/>
            <w:tabs>
              <w:tab w:val="left" w:pos="440"/>
              <w:tab w:val="right" w:leader="dot" w:pos="9062"/>
            </w:tabs>
            <w:rPr>
              <w:rFonts w:asciiTheme="minorHAnsi" w:eastAsiaTheme="minorEastAsia" w:hAnsiTheme="minorHAnsi"/>
              <w:noProof/>
              <w:sz w:val="22"/>
              <w:lang w:eastAsia="cs-CZ"/>
            </w:rPr>
          </w:pPr>
          <w:hyperlink w:anchor="_Toc31054501" w:history="1">
            <w:r w:rsidR="00B535EE" w:rsidRPr="00E87469">
              <w:rPr>
                <w:rStyle w:val="Hypertextovodkaz"/>
                <w:noProof/>
              </w:rPr>
              <w:t>5.</w:t>
            </w:r>
            <w:r w:rsidR="00B535EE">
              <w:rPr>
                <w:rFonts w:asciiTheme="minorHAnsi" w:eastAsiaTheme="minorEastAsia" w:hAnsiTheme="minorHAnsi"/>
                <w:noProof/>
                <w:sz w:val="22"/>
                <w:lang w:eastAsia="cs-CZ"/>
              </w:rPr>
              <w:tab/>
            </w:r>
            <w:r w:rsidR="00B535EE" w:rsidRPr="00E87469">
              <w:rPr>
                <w:rStyle w:val="Hypertextovodkaz"/>
                <w:noProof/>
              </w:rPr>
              <w:t>Příloha č. 1</w:t>
            </w:r>
            <w:r w:rsidR="00B535EE">
              <w:rPr>
                <w:noProof/>
                <w:webHidden/>
              </w:rPr>
              <w:tab/>
            </w:r>
            <w:r>
              <w:rPr>
                <w:noProof/>
                <w:webHidden/>
              </w:rPr>
              <w:fldChar w:fldCharType="begin"/>
            </w:r>
            <w:r w:rsidR="00B535EE">
              <w:rPr>
                <w:noProof/>
                <w:webHidden/>
              </w:rPr>
              <w:instrText xml:space="preserve"> PAGEREF _Toc31054501 \h </w:instrText>
            </w:r>
            <w:r>
              <w:rPr>
                <w:noProof/>
                <w:webHidden/>
              </w:rPr>
            </w:r>
            <w:r>
              <w:rPr>
                <w:noProof/>
                <w:webHidden/>
              </w:rPr>
              <w:fldChar w:fldCharType="separate"/>
            </w:r>
            <w:r w:rsidR="00B535EE">
              <w:rPr>
                <w:noProof/>
                <w:webHidden/>
              </w:rPr>
              <w:t>83</w:t>
            </w:r>
            <w:r>
              <w:rPr>
                <w:noProof/>
                <w:webHidden/>
              </w:rPr>
              <w:fldChar w:fldCharType="end"/>
            </w:r>
          </w:hyperlink>
        </w:p>
        <w:p w:rsidR="00F25673" w:rsidRDefault="00163A91">
          <w:r>
            <w:rPr>
              <w:b/>
              <w:bCs/>
            </w:rPr>
            <w:fldChar w:fldCharType="end"/>
          </w:r>
        </w:p>
      </w:sdtContent>
    </w:sdt>
    <w:p w:rsidR="00CF225B" w:rsidRPr="006D6DBA" w:rsidRDefault="00CF225B" w:rsidP="006D6DBA">
      <w:pPr>
        <w:autoSpaceDE w:val="0"/>
        <w:autoSpaceDN w:val="0"/>
        <w:adjustRightInd w:val="0"/>
        <w:spacing w:after="0" w:line="240" w:lineRule="auto"/>
        <w:jc w:val="center"/>
        <w:rPr>
          <w:szCs w:val="24"/>
        </w:rPr>
      </w:pPr>
    </w:p>
    <w:p w:rsidR="007C1EE6" w:rsidRDefault="0092584C" w:rsidP="007772C5">
      <w:pPr>
        <w:rPr>
          <w:noProof/>
        </w:rPr>
      </w:pPr>
      <w:r>
        <w:br w:type="page"/>
      </w:r>
      <w:r w:rsidR="007772C5" w:rsidRPr="00377B28">
        <w:rPr>
          <w:b/>
          <w:sz w:val="28"/>
          <w:szCs w:val="28"/>
        </w:rPr>
        <w:lastRenderedPageBreak/>
        <w:t>Seznam Tabulek</w:t>
      </w:r>
      <w:r w:rsidR="00163A91" w:rsidRPr="00163A91">
        <w:rPr>
          <w:b/>
          <w:sz w:val="28"/>
          <w:szCs w:val="28"/>
        </w:rPr>
        <w:fldChar w:fldCharType="begin"/>
      </w:r>
      <w:r w:rsidR="007772C5" w:rsidRPr="00377B28">
        <w:rPr>
          <w:b/>
          <w:sz w:val="28"/>
          <w:szCs w:val="28"/>
        </w:rPr>
        <w:instrText xml:space="preserve"> TOC \h \z \c "Tabulka" </w:instrText>
      </w:r>
      <w:r w:rsidR="00163A91" w:rsidRPr="00163A91">
        <w:rPr>
          <w:b/>
          <w:sz w:val="28"/>
          <w:szCs w:val="28"/>
        </w:rPr>
        <w:fldChar w:fldCharType="separate"/>
      </w:r>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77" w:history="1">
        <w:r w:rsidR="007C1EE6" w:rsidRPr="00F64A27">
          <w:rPr>
            <w:rStyle w:val="Hypertextovodkaz"/>
            <w:noProof/>
          </w:rPr>
          <w:t>Tabulka 1 – Věková struktura dat</w:t>
        </w:r>
        <w:r w:rsidR="007C1EE6">
          <w:rPr>
            <w:noProof/>
            <w:webHidden/>
          </w:rPr>
          <w:tab/>
        </w:r>
        <w:r>
          <w:rPr>
            <w:noProof/>
            <w:webHidden/>
          </w:rPr>
          <w:fldChar w:fldCharType="begin"/>
        </w:r>
        <w:r w:rsidR="007C1EE6">
          <w:rPr>
            <w:noProof/>
            <w:webHidden/>
          </w:rPr>
          <w:instrText xml:space="preserve"> PAGEREF _Toc31054777 \h </w:instrText>
        </w:r>
        <w:r>
          <w:rPr>
            <w:noProof/>
            <w:webHidden/>
          </w:rPr>
        </w:r>
        <w:r>
          <w:rPr>
            <w:noProof/>
            <w:webHidden/>
          </w:rPr>
          <w:fldChar w:fldCharType="separate"/>
        </w:r>
        <w:r w:rsidR="007C1EE6">
          <w:rPr>
            <w:noProof/>
            <w:webHidden/>
          </w:rPr>
          <w:t>12</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78" w:history="1">
        <w:r w:rsidR="007C1EE6" w:rsidRPr="00F64A27">
          <w:rPr>
            <w:rStyle w:val="Hypertextovodkaz"/>
            <w:noProof/>
          </w:rPr>
          <w:t>Tabulka 2 – Hodnocení dle indexu IN05</w:t>
        </w:r>
        <w:r w:rsidR="007C1EE6">
          <w:rPr>
            <w:noProof/>
            <w:webHidden/>
          </w:rPr>
          <w:tab/>
        </w:r>
        <w:r>
          <w:rPr>
            <w:noProof/>
            <w:webHidden/>
          </w:rPr>
          <w:fldChar w:fldCharType="begin"/>
        </w:r>
        <w:r w:rsidR="007C1EE6">
          <w:rPr>
            <w:noProof/>
            <w:webHidden/>
          </w:rPr>
          <w:instrText xml:space="preserve"> PAGEREF _Toc31054778 \h </w:instrText>
        </w:r>
        <w:r>
          <w:rPr>
            <w:noProof/>
            <w:webHidden/>
          </w:rPr>
        </w:r>
        <w:r>
          <w:rPr>
            <w:noProof/>
            <w:webHidden/>
          </w:rPr>
          <w:fldChar w:fldCharType="separate"/>
        </w:r>
        <w:r w:rsidR="007C1EE6">
          <w:rPr>
            <w:noProof/>
            <w:webHidden/>
          </w:rPr>
          <w:t>13</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79" w:history="1">
        <w:r w:rsidR="007C1EE6" w:rsidRPr="00F64A27">
          <w:rPr>
            <w:rStyle w:val="Hypertextovodkaz"/>
            <w:noProof/>
          </w:rPr>
          <w:t>Tabulka 3 – Hodnocení dle Z-skóre</w:t>
        </w:r>
        <w:r w:rsidR="007C1EE6">
          <w:rPr>
            <w:noProof/>
            <w:webHidden/>
          </w:rPr>
          <w:tab/>
        </w:r>
        <w:r>
          <w:rPr>
            <w:noProof/>
            <w:webHidden/>
          </w:rPr>
          <w:fldChar w:fldCharType="begin"/>
        </w:r>
        <w:r w:rsidR="007C1EE6">
          <w:rPr>
            <w:noProof/>
            <w:webHidden/>
          </w:rPr>
          <w:instrText xml:space="preserve"> PAGEREF _Toc31054779 \h </w:instrText>
        </w:r>
        <w:r>
          <w:rPr>
            <w:noProof/>
            <w:webHidden/>
          </w:rPr>
        </w:r>
        <w:r>
          <w:rPr>
            <w:noProof/>
            <w:webHidden/>
          </w:rPr>
          <w:fldChar w:fldCharType="separate"/>
        </w:r>
        <w:r w:rsidR="007C1EE6">
          <w:rPr>
            <w:noProof/>
            <w:webHidden/>
          </w:rPr>
          <w:t>14</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80" w:history="1">
        <w:r w:rsidR="007C1EE6" w:rsidRPr="00F64A27">
          <w:rPr>
            <w:rStyle w:val="Hypertextovodkaz"/>
            <w:noProof/>
          </w:rPr>
          <w:t>Tabulka 4 – Hodnocení dle Kralickova rychlého testu</w:t>
        </w:r>
        <w:r w:rsidR="007C1EE6">
          <w:rPr>
            <w:noProof/>
            <w:webHidden/>
          </w:rPr>
          <w:tab/>
        </w:r>
        <w:r>
          <w:rPr>
            <w:noProof/>
            <w:webHidden/>
          </w:rPr>
          <w:fldChar w:fldCharType="begin"/>
        </w:r>
        <w:r w:rsidR="007C1EE6">
          <w:rPr>
            <w:noProof/>
            <w:webHidden/>
          </w:rPr>
          <w:instrText xml:space="preserve"> PAGEREF _Toc31054780 \h </w:instrText>
        </w:r>
        <w:r>
          <w:rPr>
            <w:noProof/>
            <w:webHidden/>
          </w:rPr>
        </w:r>
        <w:r>
          <w:rPr>
            <w:noProof/>
            <w:webHidden/>
          </w:rPr>
          <w:fldChar w:fldCharType="separate"/>
        </w:r>
        <w:r w:rsidR="007C1EE6">
          <w:rPr>
            <w:noProof/>
            <w:webHidden/>
          </w:rPr>
          <w:t>14</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81" w:history="1">
        <w:r w:rsidR="007C1EE6" w:rsidRPr="00F64A27">
          <w:rPr>
            <w:rStyle w:val="Hypertextovodkaz"/>
            <w:noProof/>
          </w:rPr>
          <w:t>Tabulka 5 – Četnost kategorií velikosti tržeb</w:t>
        </w:r>
        <w:r w:rsidR="007C1EE6">
          <w:rPr>
            <w:noProof/>
            <w:webHidden/>
          </w:rPr>
          <w:tab/>
        </w:r>
        <w:r>
          <w:rPr>
            <w:noProof/>
            <w:webHidden/>
          </w:rPr>
          <w:fldChar w:fldCharType="begin"/>
        </w:r>
        <w:r w:rsidR="007C1EE6">
          <w:rPr>
            <w:noProof/>
            <w:webHidden/>
          </w:rPr>
          <w:instrText xml:space="preserve"> PAGEREF _Toc31054781 \h </w:instrText>
        </w:r>
        <w:r>
          <w:rPr>
            <w:noProof/>
            <w:webHidden/>
          </w:rPr>
        </w:r>
        <w:r>
          <w:rPr>
            <w:noProof/>
            <w:webHidden/>
          </w:rPr>
          <w:fldChar w:fldCharType="separate"/>
        </w:r>
        <w:r w:rsidR="007C1EE6">
          <w:rPr>
            <w:noProof/>
            <w:webHidden/>
          </w:rPr>
          <w:t>17</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82" w:history="1">
        <w:r w:rsidR="007C1EE6" w:rsidRPr="00F64A27">
          <w:rPr>
            <w:rStyle w:val="Hypertextovodkaz"/>
            <w:noProof/>
          </w:rPr>
          <w:t>Tabulka 6 - Průměry a medián poměrových ukazatelů</w:t>
        </w:r>
        <w:r w:rsidR="007C1EE6">
          <w:rPr>
            <w:noProof/>
            <w:webHidden/>
          </w:rPr>
          <w:tab/>
        </w:r>
        <w:r>
          <w:rPr>
            <w:noProof/>
            <w:webHidden/>
          </w:rPr>
          <w:fldChar w:fldCharType="begin"/>
        </w:r>
        <w:r w:rsidR="007C1EE6">
          <w:rPr>
            <w:noProof/>
            <w:webHidden/>
          </w:rPr>
          <w:instrText xml:space="preserve"> PAGEREF _Toc31054782 \h </w:instrText>
        </w:r>
        <w:r>
          <w:rPr>
            <w:noProof/>
            <w:webHidden/>
          </w:rPr>
        </w:r>
        <w:r>
          <w:rPr>
            <w:noProof/>
            <w:webHidden/>
          </w:rPr>
          <w:fldChar w:fldCharType="separate"/>
        </w:r>
        <w:r w:rsidR="007C1EE6">
          <w:rPr>
            <w:noProof/>
            <w:webHidden/>
          </w:rPr>
          <w:t>17</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83" w:history="1">
        <w:r w:rsidR="007C1EE6" w:rsidRPr="00F64A27">
          <w:rPr>
            <w:rStyle w:val="Hypertextovodkaz"/>
            <w:noProof/>
          </w:rPr>
          <w:t>Tabulka 7 – Průměry a medián syntetických ukazatelů</w:t>
        </w:r>
        <w:r w:rsidR="007C1EE6">
          <w:rPr>
            <w:noProof/>
            <w:webHidden/>
          </w:rPr>
          <w:tab/>
        </w:r>
        <w:r>
          <w:rPr>
            <w:noProof/>
            <w:webHidden/>
          </w:rPr>
          <w:fldChar w:fldCharType="begin"/>
        </w:r>
        <w:r w:rsidR="007C1EE6">
          <w:rPr>
            <w:noProof/>
            <w:webHidden/>
          </w:rPr>
          <w:instrText xml:space="preserve"> PAGEREF _Toc31054783 \h </w:instrText>
        </w:r>
        <w:r>
          <w:rPr>
            <w:noProof/>
            <w:webHidden/>
          </w:rPr>
        </w:r>
        <w:r>
          <w:rPr>
            <w:noProof/>
            <w:webHidden/>
          </w:rPr>
          <w:fldChar w:fldCharType="separate"/>
        </w:r>
        <w:r w:rsidR="007C1EE6">
          <w:rPr>
            <w:noProof/>
            <w:webHidden/>
          </w:rPr>
          <w:t>17</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84" w:history="1">
        <w:r w:rsidR="007C1EE6" w:rsidRPr="00F64A27">
          <w:rPr>
            <w:rStyle w:val="Hypertextovodkaz"/>
            <w:noProof/>
          </w:rPr>
          <w:t>Tabulka 8 – Průměry a medián jednotlivých úrovní marže</w:t>
        </w:r>
        <w:r w:rsidR="007C1EE6">
          <w:rPr>
            <w:noProof/>
            <w:webHidden/>
          </w:rPr>
          <w:tab/>
        </w:r>
        <w:r>
          <w:rPr>
            <w:noProof/>
            <w:webHidden/>
          </w:rPr>
          <w:fldChar w:fldCharType="begin"/>
        </w:r>
        <w:r w:rsidR="007C1EE6">
          <w:rPr>
            <w:noProof/>
            <w:webHidden/>
          </w:rPr>
          <w:instrText xml:space="preserve"> PAGEREF _Toc31054784 \h </w:instrText>
        </w:r>
        <w:r>
          <w:rPr>
            <w:noProof/>
            <w:webHidden/>
          </w:rPr>
        </w:r>
        <w:r>
          <w:rPr>
            <w:noProof/>
            <w:webHidden/>
          </w:rPr>
          <w:fldChar w:fldCharType="separate"/>
        </w:r>
        <w:r w:rsidR="007C1EE6">
          <w:rPr>
            <w:noProof/>
            <w:webHidden/>
          </w:rPr>
          <w:t>18</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85" w:history="1">
        <w:r w:rsidR="007C1EE6" w:rsidRPr="00F64A27">
          <w:rPr>
            <w:rStyle w:val="Hypertextovodkaz"/>
            <w:noProof/>
          </w:rPr>
          <w:t>Tabulka 9 – Průměry a medián základních provozních nákladových poměrů</w:t>
        </w:r>
        <w:r w:rsidR="007C1EE6">
          <w:rPr>
            <w:noProof/>
            <w:webHidden/>
          </w:rPr>
          <w:tab/>
        </w:r>
        <w:r>
          <w:rPr>
            <w:noProof/>
            <w:webHidden/>
          </w:rPr>
          <w:fldChar w:fldCharType="begin"/>
        </w:r>
        <w:r w:rsidR="007C1EE6">
          <w:rPr>
            <w:noProof/>
            <w:webHidden/>
          </w:rPr>
          <w:instrText xml:space="preserve"> PAGEREF _Toc31054785 \h </w:instrText>
        </w:r>
        <w:r>
          <w:rPr>
            <w:noProof/>
            <w:webHidden/>
          </w:rPr>
        </w:r>
        <w:r>
          <w:rPr>
            <w:noProof/>
            <w:webHidden/>
          </w:rPr>
          <w:fldChar w:fldCharType="separate"/>
        </w:r>
        <w:r w:rsidR="007C1EE6">
          <w:rPr>
            <w:noProof/>
            <w:webHidden/>
          </w:rPr>
          <w:t>18</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86" w:history="1">
        <w:r w:rsidR="007C1EE6" w:rsidRPr="00F64A27">
          <w:rPr>
            <w:rStyle w:val="Hypertextovodkaz"/>
            <w:noProof/>
          </w:rPr>
          <w:t>Tabulka 10 – Relativní četnosti polarity vybraných ukazatelů v jednotlivých letech</w:t>
        </w:r>
        <w:r w:rsidR="007C1EE6">
          <w:rPr>
            <w:noProof/>
            <w:webHidden/>
          </w:rPr>
          <w:tab/>
        </w:r>
        <w:r>
          <w:rPr>
            <w:noProof/>
            <w:webHidden/>
          </w:rPr>
          <w:fldChar w:fldCharType="begin"/>
        </w:r>
        <w:r w:rsidR="007C1EE6">
          <w:rPr>
            <w:noProof/>
            <w:webHidden/>
          </w:rPr>
          <w:instrText xml:space="preserve"> PAGEREF _Toc31054786 \h </w:instrText>
        </w:r>
        <w:r>
          <w:rPr>
            <w:noProof/>
            <w:webHidden/>
          </w:rPr>
        </w:r>
        <w:r>
          <w:rPr>
            <w:noProof/>
            <w:webHidden/>
          </w:rPr>
          <w:fldChar w:fldCharType="separate"/>
        </w:r>
        <w:r w:rsidR="007C1EE6">
          <w:rPr>
            <w:noProof/>
            <w:webHidden/>
          </w:rPr>
          <w:t>19</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87" w:history="1">
        <w:r w:rsidR="007C1EE6" w:rsidRPr="00F64A27">
          <w:rPr>
            <w:rStyle w:val="Hypertextovodkaz"/>
            <w:noProof/>
          </w:rPr>
          <w:t>Tabulka 11 – Četnosti kategorií Kralickova Rychlého testu</w:t>
        </w:r>
        <w:r w:rsidR="007C1EE6">
          <w:rPr>
            <w:noProof/>
            <w:webHidden/>
          </w:rPr>
          <w:tab/>
        </w:r>
        <w:r>
          <w:rPr>
            <w:noProof/>
            <w:webHidden/>
          </w:rPr>
          <w:fldChar w:fldCharType="begin"/>
        </w:r>
        <w:r w:rsidR="007C1EE6">
          <w:rPr>
            <w:noProof/>
            <w:webHidden/>
          </w:rPr>
          <w:instrText xml:space="preserve"> PAGEREF _Toc31054787 \h </w:instrText>
        </w:r>
        <w:r>
          <w:rPr>
            <w:noProof/>
            <w:webHidden/>
          </w:rPr>
        </w:r>
        <w:r>
          <w:rPr>
            <w:noProof/>
            <w:webHidden/>
          </w:rPr>
          <w:fldChar w:fldCharType="separate"/>
        </w:r>
        <w:r w:rsidR="007C1EE6">
          <w:rPr>
            <w:noProof/>
            <w:webHidden/>
          </w:rPr>
          <w:t>19</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88" w:history="1">
        <w:r w:rsidR="007C1EE6" w:rsidRPr="00F64A27">
          <w:rPr>
            <w:rStyle w:val="Hypertextovodkaz"/>
            <w:noProof/>
          </w:rPr>
          <w:t>Tabulka 12 – Četnosti kategorií Altmanova Z-skóre</w:t>
        </w:r>
        <w:r w:rsidR="007C1EE6">
          <w:rPr>
            <w:noProof/>
            <w:webHidden/>
          </w:rPr>
          <w:tab/>
        </w:r>
        <w:r>
          <w:rPr>
            <w:noProof/>
            <w:webHidden/>
          </w:rPr>
          <w:fldChar w:fldCharType="begin"/>
        </w:r>
        <w:r w:rsidR="007C1EE6">
          <w:rPr>
            <w:noProof/>
            <w:webHidden/>
          </w:rPr>
          <w:instrText xml:space="preserve"> PAGEREF _Toc31054788 \h </w:instrText>
        </w:r>
        <w:r>
          <w:rPr>
            <w:noProof/>
            <w:webHidden/>
          </w:rPr>
        </w:r>
        <w:r>
          <w:rPr>
            <w:noProof/>
            <w:webHidden/>
          </w:rPr>
          <w:fldChar w:fldCharType="separate"/>
        </w:r>
        <w:r w:rsidR="007C1EE6">
          <w:rPr>
            <w:noProof/>
            <w:webHidden/>
          </w:rPr>
          <w:t>20</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89" w:history="1">
        <w:r w:rsidR="007C1EE6" w:rsidRPr="00F64A27">
          <w:rPr>
            <w:rStyle w:val="Hypertextovodkaz"/>
            <w:noProof/>
          </w:rPr>
          <w:t>Tabulka 13 – Četnosti kategorií indexu IN05</w:t>
        </w:r>
        <w:r w:rsidR="007C1EE6">
          <w:rPr>
            <w:noProof/>
            <w:webHidden/>
          </w:rPr>
          <w:tab/>
        </w:r>
        <w:r>
          <w:rPr>
            <w:noProof/>
            <w:webHidden/>
          </w:rPr>
          <w:fldChar w:fldCharType="begin"/>
        </w:r>
        <w:r w:rsidR="007C1EE6">
          <w:rPr>
            <w:noProof/>
            <w:webHidden/>
          </w:rPr>
          <w:instrText xml:space="preserve"> PAGEREF _Toc31054789 \h </w:instrText>
        </w:r>
        <w:r>
          <w:rPr>
            <w:noProof/>
            <w:webHidden/>
          </w:rPr>
        </w:r>
        <w:r>
          <w:rPr>
            <w:noProof/>
            <w:webHidden/>
          </w:rPr>
          <w:fldChar w:fldCharType="separate"/>
        </w:r>
        <w:r w:rsidR="007C1EE6">
          <w:rPr>
            <w:noProof/>
            <w:webHidden/>
          </w:rPr>
          <w:t>20</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90" w:history="1">
        <w:r w:rsidR="007C1EE6" w:rsidRPr="00F64A27">
          <w:rPr>
            <w:rStyle w:val="Hypertextovodkaz"/>
            <w:noProof/>
          </w:rPr>
          <w:t>Tabulka 14 – Relativní četnosti kategorií indexu IN05 v jednotlivých letech</w:t>
        </w:r>
        <w:r w:rsidR="007C1EE6">
          <w:rPr>
            <w:noProof/>
            <w:webHidden/>
          </w:rPr>
          <w:tab/>
        </w:r>
        <w:r>
          <w:rPr>
            <w:noProof/>
            <w:webHidden/>
          </w:rPr>
          <w:fldChar w:fldCharType="begin"/>
        </w:r>
        <w:r w:rsidR="007C1EE6">
          <w:rPr>
            <w:noProof/>
            <w:webHidden/>
          </w:rPr>
          <w:instrText xml:space="preserve"> PAGEREF _Toc31054790 \h </w:instrText>
        </w:r>
        <w:r>
          <w:rPr>
            <w:noProof/>
            <w:webHidden/>
          </w:rPr>
        </w:r>
        <w:r>
          <w:rPr>
            <w:noProof/>
            <w:webHidden/>
          </w:rPr>
          <w:fldChar w:fldCharType="separate"/>
        </w:r>
        <w:r w:rsidR="007C1EE6">
          <w:rPr>
            <w:noProof/>
            <w:webHidden/>
          </w:rPr>
          <w:t>20</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91" w:history="1">
        <w:r w:rsidR="007C1EE6" w:rsidRPr="00F64A27">
          <w:rPr>
            <w:rStyle w:val="Hypertextovodkaz"/>
            <w:noProof/>
          </w:rPr>
          <w:t>Tabulka 15 – Závislost hodnoty indexu IN05 na intervalech poměrových ukazatelů</w:t>
        </w:r>
        <w:r w:rsidR="007C1EE6">
          <w:rPr>
            <w:noProof/>
            <w:webHidden/>
          </w:rPr>
          <w:tab/>
        </w:r>
        <w:r>
          <w:rPr>
            <w:noProof/>
            <w:webHidden/>
          </w:rPr>
          <w:fldChar w:fldCharType="begin"/>
        </w:r>
        <w:r w:rsidR="007C1EE6">
          <w:rPr>
            <w:noProof/>
            <w:webHidden/>
          </w:rPr>
          <w:instrText xml:space="preserve"> PAGEREF _Toc31054791 \h </w:instrText>
        </w:r>
        <w:r>
          <w:rPr>
            <w:noProof/>
            <w:webHidden/>
          </w:rPr>
        </w:r>
        <w:r>
          <w:rPr>
            <w:noProof/>
            <w:webHidden/>
          </w:rPr>
          <w:fldChar w:fldCharType="separate"/>
        </w:r>
        <w:r w:rsidR="007C1EE6">
          <w:rPr>
            <w:noProof/>
            <w:webHidden/>
          </w:rPr>
          <w:t>21</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92" w:history="1">
        <w:r w:rsidR="007C1EE6" w:rsidRPr="00F64A27">
          <w:rPr>
            <w:rStyle w:val="Hypertextovodkaz"/>
            <w:noProof/>
          </w:rPr>
          <w:t>Tabulka 16 – Závislost přechodu indexu IN05 do kategorie bankrotních podniků na změně polarity ostatních ukazatelů</w:t>
        </w:r>
        <w:r w:rsidR="007C1EE6">
          <w:rPr>
            <w:noProof/>
            <w:webHidden/>
          </w:rPr>
          <w:tab/>
        </w:r>
        <w:r>
          <w:rPr>
            <w:noProof/>
            <w:webHidden/>
          </w:rPr>
          <w:fldChar w:fldCharType="begin"/>
        </w:r>
        <w:r w:rsidR="007C1EE6">
          <w:rPr>
            <w:noProof/>
            <w:webHidden/>
          </w:rPr>
          <w:instrText xml:space="preserve"> PAGEREF _Toc31054792 \h </w:instrText>
        </w:r>
        <w:r>
          <w:rPr>
            <w:noProof/>
            <w:webHidden/>
          </w:rPr>
        </w:r>
        <w:r>
          <w:rPr>
            <w:noProof/>
            <w:webHidden/>
          </w:rPr>
          <w:fldChar w:fldCharType="separate"/>
        </w:r>
        <w:r w:rsidR="007C1EE6">
          <w:rPr>
            <w:noProof/>
            <w:webHidden/>
          </w:rPr>
          <w:t>22</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93" w:history="1">
        <w:r w:rsidR="007C1EE6" w:rsidRPr="00F64A27">
          <w:rPr>
            <w:rStyle w:val="Hypertextovodkaz"/>
            <w:noProof/>
          </w:rPr>
          <w:t>Tabulka 17 – Absolutní a relativní četnost polarity nutné hotovosti</w:t>
        </w:r>
        <w:r w:rsidR="007C1EE6">
          <w:rPr>
            <w:noProof/>
            <w:webHidden/>
          </w:rPr>
          <w:tab/>
        </w:r>
        <w:r>
          <w:rPr>
            <w:noProof/>
            <w:webHidden/>
          </w:rPr>
          <w:fldChar w:fldCharType="begin"/>
        </w:r>
        <w:r w:rsidR="007C1EE6">
          <w:rPr>
            <w:noProof/>
            <w:webHidden/>
          </w:rPr>
          <w:instrText xml:space="preserve"> PAGEREF _Toc31054793 \h </w:instrText>
        </w:r>
        <w:r>
          <w:rPr>
            <w:noProof/>
            <w:webHidden/>
          </w:rPr>
        </w:r>
        <w:r>
          <w:rPr>
            <w:noProof/>
            <w:webHidden/>
          </w:rPr>
          <w:fldChar w:fldCharType="separate"/>
        </w:r>
        <w:r w:rsidR="007C1EE6">
          <w:rPr>
            <w:noProof/>
            <w:webHidden/>
          </w:rPr>
          <w:t>23</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94" w:history="1">
        <w:r w:rsidR="007C1EE6" w:rsidRPr="00F64A27">
          <w:rPr>
            <w:rStyle w:val="Hypertextovodkaz"/>
            <w:noProof/>
          </w:rPr>
          <w:t>Tabulka 18 – Relativní četnosti polarity nutné hotovosti a ostatních ukazatelů</w:t>
        </w:r>
        <w:r w:rsidR="007C1EE6">
          <w:rPr>
            <w:noProof/>
            <w:webHidden/>
          </w:rPr>
          <w:tab/>
        </w:r>
        <w:r>
          <w:rPr>
            <w:noProof/>
            <w:webHidden/>
          </w:rPr>
          <w:fldChar w:fldCharType="begin"/>
        </w:r>
        <w:r w:rsidR="007C1EE6">
          <w:rPr>
            <w:noProof/>
            <w:webHidden/>
          </w:rPr>
          <w:instrText xml:space="preserve"> PAGEREF _Toc31054794 \h </w:instrText>
        </w:r>
        <w:r>
          <w:rPr>
            <w:noProof/>
            <w:webHidden/>
          </w:rPr>
        </w:r>
        <w:r>
          <w:rPr>
            <w:noProof/>
            <w:webHidden/>
          </w:rPr>
          <w:fldChar w:fldCharType="separate"/>
        </w:r>
        <w:r w:rsidR="007C1EE6">
          <w:rPr>
            <w:noProof/>
            <w:webHidden/>
          </w:rPr>
          <w:t>23</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95" w:history="1">
        <w:r w:rsidR="007C1EE6" w:rsidRPr="00F64A27">
          <w:rPr>
            <w:rStyle w:val="Hypertextovodkaz"/>
            <w:noProof/>
          </w:rPr>
          <w:t>Tabulka 19 – Závislost deficitu nutné hotovosti na změně polarity ostatních ukazatelů</w:t>
        </w:r>
        <w:r w:rsidR="007C1EE6">
          <w:rPr>
            <w:noProof/>
            <w:webHidden/>
          </w:rPr>
          <w:tab/>
        </w:r>
        <w:r>
          <w:rPr>
            <w:noProof/>
            <w:webHidden/>
          </w:rPr>
          <w:fldChar w:fldCharType="begin"/>
        </w:r>
        <w:r w:rsidR="007C1EE6">
          <w:rPr>
            <w:noProof/>
            <w:webHidden/>
          </w:rPr>
          <w:instrText xml:space="preserve"> PAGEREF _Toc31054795 \h </w:instrText>
        </w:r>
        <w:r>
          <w:rPr>
            <w:noProof/>
            <w:webHidden/>
          </w:rPr>
        </w:r>
        <w:r>
          <w:rPr>
            <w:noProof/>
            <w:webHidden/>
          </w:rPr>
          <w:fldChar w:fldCharType="separate"/>
        </w:r>
        <w:r w:rsidR="007C1EE6">
          <w:rPr>
            <w:noProof/>
            <w:webHidden/>
          </w:rPr>
          <w:t>23</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96" w:history="1">
        <w:r w:rsidR="007C1EE6" w:rsidRPr="00F64A27">
          <w:rPr>
            <w:rStyle w:val="Hypertextovodkaz"/>
            <w:noProof/>
          </w:rPr>
          <w:t>Tabulka 20 – Absolutní a relativní četnost polarity vlastního kapitálu</w:t>
        </w:r>
        <w:r w:rsidR="007C1EE6">
          <w:rPr>
            <w:noProof/>
            <w:webHidden/>
          </w:rPr>
          <w:tab/>
        </w:r>
        <w:r>
          <w:rPr>
            <w:noProof/>
            <w:webHidden/>
          </w:rPr>
          <w:fldChar w:fldCharType="begin"/>
        </w:r>
        <w:r w:rsidR="007C1EE6">
          <w:rPr>
            <w:noProof/>
            <w:webHidden/>
          </w:rPr>
          <w:instrText xml:space="preserve"> PAGEREF _Toc31054796 \h </w:instrText>
        </w:r>
        <w:r>
          <w:rPr>
            <w:noProof/>
            <w:webHidden/>
          </w:rPr>
        </w:r>
        <w:r>
          <w:rPr>
            <w:noProof/>
            <w:webHidden/>
          </w:rPr>
          <w:fldChar w:fldCharType="separate"/>
        </w:r>
        <w:r w:rsidR="007C1EE6">
          <w:rPr>
            <w:noProof/>
            <w:webHidden/>
          </w:rPr>
          <w:t>24</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97" w:history="1">
        <w:r w:rsidR="007C1EE6" w:rsidRPr="00F64A27">
          <w:rPr>
            <w:rStyle w:val="Hypertextovodkaz"/>
            <w:noProof/>
          </w:rPr>
          <w:t>Tabulka 21 – Relativní četnosti polarity vlastního kapitálu a ostatních ukazatelů</w:t>
        </w:r>
        <w:r w:rsidR="007C1EE6">
          <w:rPr>
            <w:noProof/>
            <w:webHidden/>
          </w:rPr>
          <w:tab/>
        </w:r>
        <w:r>
          <w:rPr>
            <w:noProof/>
            <w:webHidden/>
          </w:rPr>
          <w:fldChar w:fldCharType="begin"/>
        </w:r>
        <w:r w:rsidR="007C1EE6">
          <w:rPr>
            <w:noProof/>
            <w:webHidden/>
          </w:rPr>
          <w:instrText xml:space="preserve"> PAGEREF _Toc31054797 \h </w:instrText>
        </w:r>
        <w:r>
          <w:rPr>
            <w:noProof/>
            <w:webHidden/>
          </w:rPr>
        </w:r>
        <w:r>
          <w:rPr>
            <w:noProof/>
            <w:webHidden/>
          </w:rPr>
          <w:fldChar w:fldCharType="separate"/>
        </w:r>
        <w:r w:rsidR="007C1EE6">
          <w:rPr>
            <w:noProof/>
            <w:webHidden/>
          </w:rPr>
          <w:t>24</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98" w:history="1">
        <w:r w:rsidR="007C1EE6" w:rsidRPr="00F64A27">
          <w:rPr>
            <w:rStyle w:val="Hypertextovodkaz"/>
            <w:noProof/>
          </w:rPr>
          <w:t>Tabulka 22 – Závislost záporného vlastního kapitálu na změně polarity ostatních ukazatelů</w:t>
        </w:r>
        <w:r w:rsidR="007C1EE6">
          <w:rPr>
            <w:noProof/>
            <w:webHidden/>
          </w:rPr>
          <w:tab/>
        </w:r>
        <w:r>
          <w:rPr>
            <w:noProof/>
            <w:webHidden/>
          </w:rPr>
          <w:fldChar w:fldCharType="begin"/>
        </w:r>
        <w:r w:rsidR="007C1EE6">
          <w:rPr>
            <w:noProof/>
            <w:webHidden/>
          </w:rPr>
          <w:instrText xml:space="preserve"> PAGEREF _Toc31054798 \h </w:instrText>
        </w:r>
        <w:r>
          <w:rPr>
            <w:noProof/>
            <w:webHidden/>
          </w:rPr>
        </w:r>
        <w:r>
          <w:rPr>
            <w:noProof/>
            <w:webHidden/>
          </w:rPr>
          <w:fldChar w:fldCharType="separate"/>
        </w:r>
        <w:r w:rsidR="007C1EE6">
          <w:rPr>
            <w:noProof/>
            <w:webHidden/>
          </w:rPr>
          <w:t>24</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799" w:history="1">
        <w:r w:rsidR="007C1EE6" w:rsidRPr="00F64A27">
          <w:rPr>
            <w:rStyle w:val="Hypertextovodkaz"/>
            <w:noProof/>
          </w:rPr>
          <w:t>Tabulka 23 Věková struktura dat</w:t>
        </w:r>
        <w:r w:rsidR="007C1EE6">
          <w:rPr>
            <w:noProof/>
            <w:webHidden/>
          </w:rPr>
          <w:tab/>
        </w:r>
        <w:r>
          <w:rPr>
            <w:noProof/>
            <w:webHidden/>
          </w:rPr>
          <w:fldChar w:fldCharType="begin"/>
        </w:r>
        <w:r w:rsidR="007C1EE6">
          <w:rPr>
            <w:noProof/>
            <w:webHidden/>
          </w:rPr>
          <w:instrText xml:space="preserve"> PAGEREF _Toc31054799 \h </w:instrText>
        </w:r>
        <w:r>
          <w:rPr>
            <w:noProof/>
            <w:webHidden/>
          </w:rPr>
        </w:r>
        <w:r>
          <w:rPr>
            <w:noProof/>
            <w:webHidden/>
          </w:rPr>
          <w:fldChar w:fldCharType="separate"/>
        </w:r>
        <w:r w:rsidR="007C1EE6">
          <w:rPr>
            <w:noProof/>
            <w:webHidden/>
          </w:rPr>
          <w:t>27</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00" w:history="1">
        <w:r w:rsidR="007C1EE6" w:rsidRPr="00F64A27">
          <w:rPr>
            <w:rStyle w:val="Hypertextovodkaz"/>
            <w:noProof/>
          </w:rPr>
          <w:t>Tabulka 24  – Definice čtyřpolní tabulky pro stanovení poměru šancí</w:t>
        </w:r>
        <w:r w:rsidR="007C1EE6">
          <w:rPr>
            <w:noProof/>
            <w:webHidden/>
          </w:rPr>
          <w:tab/>
        </w:r>
        <w:r>
          <w:rPr>
            <w:noProof/>
            <w:webHidden/>
          </w:rPr>
          <w:fldChar w:fldCharType="begin"/>
        </w:r>
        <w:r w:rsidR="007C1EE6">
          <w:rPr>
            <w:noProof/>
            <w:webHidden/>
          </w:rPr>
          <w:instrText xml:space="preserve"> PAGEREF _Toc31054800 \h </w:instrText>
        </w:r>
        <w:r>
          <w:rPr>
            <w:noProof/>
            <w:webHidden/>
          </w:rPr>
        </w:r>
        <w:r>
          <w:rPr>
            <w:noProof/>
            <w:webHidden/>
          </w:rPr>
          <w:fldChar w:fldCharType="separate"/>
        </w:r>
        <w:r w:rsidR="007C1EE6">
          <w:rPr>
            <w:noProof/>
            <w:webHidden/>
          </w:rPr>
          <w:t>29</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01" w:history="1">
        <w:r w:rsidR="007C1EE6" w:rsidRPr="00F64A27">
          <w:rPr>
            <w:rStyle w:val="Hypertextovodkaz"/>
            <w:noProof/>
          </w:rPr>
          <w:t>Tabulka 25 – Absolutní a relativní četnost polarity nutné hotovosti</w:t>
        </w:r>
        <w:r w:rsidR="007C1EE6">
          <w:rPr>
            <w:noProof/>
            <w:webHidden/>
          </w:rPr>
          <w:tab/>
        </w:r>
        <w:r>
          <w:rPr>
            <w:noProof/>
            <w:webHidden/>
          </w:rPr>
          <w:fldChar w:fldCharType="begin"/>
        </w:r>
        <w:r w:rsidR="007C1EE6">
          <w:rPr>
            <w:noProof/>
            <w:webHidden/>
          </w:rPr>
          <w:instrText xml:space="preserve"> PAGEREF _Toc31054801 \h </w:instrText>
        </w:r>
        <w:r>
          <w:rPr>
            <w:noProof/>
            <w:webHidden/>
          </w:rPr>
        </w:r>
        <w:r>
          <w:rPr>
            <w:noProof/>
            <w:webHidden/>
          </w:rPr>
          <w:fldChar w:fldCharType="separate"/>
        </w:r>
        <w:r w:rsidR="007C1EE6">
          <w:rPr>
            <w:noProof/>
            <w:webHidden/>
          </w:rPr>
          <w:t>32</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02" w:history="1">
        <w:r w:rsidR="007C1EE6" w:rsidRPr="00F64A27">
          <w:rPr>
            <w:rStyle w:val="Hypertextovodkaz"/>
            <w:noProof/>
          </w:rPr>
          <w:t>Tabulka 26 – Relativní četnosti polarity nutné hotovosti a ostatních ukazatelů</w:t>
        </w:r>
        <w:r w:rsidR="007C1EE6">
          <w:rPr>
            <w:noProof/>
            <w:webHidden/>
          </w:rPr>
          <w:tab/>
        </w:r>
        <w:r>
          <w:rPr>
            <w:noProof/>
            <w:webHidden/>
          </w:rPr>
          <w:fldChar w:fldCharType="begin"/>
        </w:r>
        <w:r w:rsidR="007C1EE6">
          <w:rPr>
            <w:noProof/>
            <w:webHidden/>
          </w:rPr>
          <w:instrText xml:space="preserve"> PAGEREF _Toc31054802 \h </w:instrText>
        </w:r>
        <w:r>
          <w:rPr>
            <w:noProof/>
            <w:webHidden/>
          </w:rPr>
        </w:r>
        <w:r>
          <w:rPr>
            <w:noProof/>
            <w:webHidden/>
          </w:rPr>
          <w:fldChar w:fldCharType="separate"/>
        </w:r>
        <w:r w:rsidR="007C1EE6">
          <w:rPr>
            <w:noProof/>
            <w:webHidden/>
          </w:rPr>
          <w:t>32</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03" w:history="1">
        <w:r w:rsidR="007C1EE6" w:rsidRPr="00F64A27">
          <w:rPr>
            <w:rStyle w:val="Hypertextovodkaz"/>
            <w:noProof/>
          </w:rPr>
          <w:t>Tabulka 27 - Závislost deficitu nutné hotovosti na změně polarity ostatních ukazatelů</w:t>
        </w:r>
        <w:r w:rsidR="007C1EE6">
          <w:rPr>
            <w:noProof/>
            <w:webHidden/>
          </w:rPr>
          <w:tab/>
        </w:r>
        <w:r>
          <w:rPr>
            <w:noProof/>
            <w:webHidden/>
          </w:rPr>
          <w:fldChar w:fldCharType="begin"/>
        </w:r>
        <w:r w:rsidR="007C1EE6">
          <w:rPr>
            <w:noProof/>
            <w:webHidden/>
          </w:rPr>
          <w:instrText xml:space="preserve"> PAGEREF _Toc31054803 \h </w:instrText>
        </w:r>
        <w:r>
          <w:rPr>
            <w:noProof/>
            <w:webHidden/>
          </w:rPr>
        </w:r>
        <w:r>
          <w:rPr>
            <w:noProof/>
            <w:webHidden/>
          </w:rPr>
          <w:fldChar w:fldCharType="separate"/>
        </w:r>
        <w:r w:rsidR="007C1EE6">
          <w:rPr>
            <w:noProof/>
            <w:webHidden/>
          </w:rPr>
          <w:t>33</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04" w:history="1">
        <w:r w:rsidR="007C1EE6" w:rsidRPr="00F64A27">
          <w:rPr>
            <w:rStyle w:val="Hypertextovodkaz"/>
            <w:noProof/>
          </w:rPr>
          <w:t>Tabulka 28 – Poměr šancí stanovený pomocí logistické regrese</w:t>
        </w:r>
        <w:r w:rsidR="007C1EE6">
          <w:rPr>
            <w:noProof/>
            <w:webHidden/>
          </w:rPr>
          <w:tab/>
        </w:r>
        <w:r>
          <w:rPr>
            <w:noProof/>
            <w:webHidden/>
          </w:rPr>
          <w:fldChar w:fldCharType="begin"/>
        </w:r>
        <w:r w:rsidR="007C1EE6">
          <w:rPr>
            <w:noProof/>
            <w:webHidden/>
          </w:rPr>
          <w:instrText xml:space="preserve"> PAGEREF _Toc31054804 \h </w:instrText>
        </w:r>
        <w:r>
          <w:rPr>
            <w:noProof/>
            <w:webHidden/>
          </w:rPr>
        </w:r>
        <w:r>
          <w:rPr>
            <w:noProof/>
            <w:webHidden/>
          </w:rPr>
          <w:fldChar w:fldCharType="separate"/>
        </w:r>
        <w:r w:rsidR="007C1EE6">
          <w:rPr>
            <w:noProof/>
            <w:webHidden/>
          </w:rPr>
          <w:t>34</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05" w:history="1">
        <w:r w:rsidR="007C1EE6" w:rsidRPr="00F64A27">
          <w:rPr>
            <w:rStyle w:val="Hypertextovodkaz"/>
            <w:noProof/>
          </w:rPr>
          <w:t>Tabulka 29 – Současné působení vybraných ukazatelů</w:t>
        </w:r>
        <w:r w:rsidR="007C1EE6">
          <w:rPr>
            <w:noProof/>
            <w:webHidden/>
          </w:rPr>
          <w:tab/>
        </w:r>
        <w:r>
          <w:rPr>
            <w:noProof/>
            <w:webHidden/>
          </w:rPr>
          <w:fldChar w:fldCharType="begin"/>
        </w:r>
        <w:r w:rsidR="007C1EE6">
          <w:rPr>
            <w:noProof/>
            <w:webHidden/>
          </w:rPr>
          <w:instrText xml:space="preserve"> PAGEREF _Toc31054805 \h </w:instrText>
        </w:r>
        <w:r>
          <w:rPr>
            <w:noProof/>
            <w:webHidden/>
          </w:rPr>
        </w:r>
        <w:r>
          <w:rPr>
            <w:noProof/>
            <w:webHidden/>
          </w:rPr>
          <w:fldChar w:fldCharType="separate"/>
        </w:r>
        <w:r w:rsidR="007C1EE6">
          <w:rPr>
            <w:noProof/>
            <w:webHidden/>
          </w:rPr>
          <w:t>35</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06" w:history="1">
        <w:r w:rsidR="007C1EE6" w:rsidRPr="00F64A27">
          <w:rPr>
            <w:rStyle w:val="Hypertextovodkaz"/>
            <w:noProof/>
          </w:rPr>
          <w:t>Tabulka 30 – Absolutní a relativní četnost polarity vlastního kapitálu</w:t>
        </w:r>
        <w:r w:rsidR="007C1EE6">
          <w:rPr>
            <w:noProof/>
            <w:webHidden/>
          </w:rPr>
          <w:tab/>
        </w:r>
        <w:r>
          <w:rPr>
            <w:noProof/>
            <w:webHidden/>
          </w:rPr>
          <w:fldChar w:fldCharType="begin"/>
        </w:r>
        <w:r w:rsidR="007C1EE6">
          <w:rPr>
            <w:noProof/>
            <w:webHidden/>
          </w:rPr>
          <w:instrText xml:space="preserve"> PAGEREF _Toc31054806 \h </w:instrText>
        </w:r>
        <w:r>
          <w:rPr>
            <w:noProof/>
            <w:webHidden/>
          </w:rPr>
        </w:r>
        <w:r>
          <w:rPr>
            <w:noProof/>
            <w:webHidden/>
          </w:rPr>
          <w:fldChar w:fldCharType="separate"/>
        </w:r>
        <w:r w:rsidR="007C1EE6">
          <w:rPr>
            <w:noProof/>
            <w:webHidden/>
          </w:rPr>
          <w:t>35</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07" w:history="1">
        <w:r w:rsidR="007C1EE6" w:rsidRPr="00F64A27">
          <w:rPr>
            <w:rStyle w:val="Hypertextovodkaz"/>
            <w:noProof/>
          </w:rPr>
          <w:t>Tabulka 31 – Relativní četnosti polarity vlastního kapitálu a ostatních ukazatelů</w:t>
        </w:r>
        <w:r w:rsidR="007C1EE6">
          <w:rPr>
            <w:noProof/>
            <w:webHidden/>
          </w:rPr>
          <w:tab/>
        </w:r>
        <w:r>
          <w:rPr>
            <w:noProof/>
            <w:webHidden/>
          </w:rPr>
          <w:fldChar w:fldCharType="begin"/>
        </w:r>
        <w:r w:rsidR="007C1EE6">
          <w:rPr>
            <w:noProof/>
            <w:webHidden/>
          </w:rPr>
          <w:instrText xml:space="preserve"> PAGEREF _Toc31054807 \h </w:instrText>
        </w:r>
        <w:r>
          <w:rPr>
            <w:noProof/>
            <w:webHidden/>
          </w:rPr>
        </w:r>
        <w:r>
          <w:rPr>
            <w:noProof/>
            <w:webHidden/>
          </w:rPr>
          <w:fldChar w:fldCharType="separate"/>
        </w:r>
        <w:r w:rsidR="007C1EE6">
          <w:rPr>
            <w:noProof/>
            <w:webHidden/>
          </w:rPr>
          <w:t>36</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08" w:history="1">
        <w:r w:rsidR="007C1EE6" w:rsidRPr="00F64A27">
          <w:rPr>
            <w:rStyle w:val="Hypertextovodkaz"/>
            <w:noProof/>
          </w:rPr>
          <w:t>Tabulka 32 – Závislost polarity vlastního kapitálu na změně polarity ostatních ukazatelů</w:t>
        </w:r>
        <w:r w:rsidR="007C1EE6">
          <w:rPr>
            <w:noProof/>
            <w:webHidden/>
          </w:rPr>
          <w:tab/>
        </w:r>
        <w:r>
          <w:rPr>
            <w:noProof/>
            <w:webHidden/>
          </w:rPr>
          <w:fldChar w:fldCharType="begin"/>
        </w:r>
        <w:r w:rsidR="007C1EE6">
          <w:rPr>
            <w:noProof/>
            <w:webHidden/>
          </w:rPr>
          <w:instrText xml:space="preserve"> PAGEREF _Toc31054808 \h </w:instrText>
        </w:r>
        <w:r>
          <w:rPr>
            <w:noProof/>
            <w:webHidden/>
          </w:rPr>
        </w:r>
        <w:r>
          <w:rPr>
            <w:noProof/>
            <w:webHidden/>
          </w:rPr>
          <w:fldChar w:fldCharType="separate"/>
        </w:r>
        <w:r w:rsidR="007C1EE6">
          <w:rPr>
            <w:noProof/>
            <w:webHidden/>
          </w:rPr>
          <w:t>36</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09" w:history="1">
        <w:r w:rsidR="007C1EE6" w:rsidRPr="00F64A27">
          <w:rPr>
            <w:rStyle w:val="Hypertextovodkaz"/>
            <w:noProof/>
          </w:rPr>
          <w:t>Tabulka 33 – Poměr šancí stanovení pomocí logistické regrese</w:t>
        </w:r>
        <w:r w:rsidR="007C1EE6">
          <w:rPr>
            <w:noProof/>
            <w:webHidden/>
          </w:rPr>
          <w:tab/>
        </w:r>
        <w:r>
          <w:rPr>
            <w:noProof/>
            <w:webHidden/>
          </w:rPr>
          <w:fldChar w:fldCharType="begin"/>
        </w:r>
        <w:r w:rsidR="007C1EE6">
          <w:rPr>
            <w:noProof/>
            <w:webHidden/>
          </w:rPr>
          <w:instrText xml:space="preserve"> PAGEREF _Toc31054809 \h </w:instrText>
        </w:r>
        <w:r>
          <w:rPr>
            <w:noProof/>
            <w:webHidden/>
          </w:rPr>
        </w:r>
        <w:r>
          <w:rPr>
            <w:noProof/>
            <w:webHidden/>
          </w:rPr>
          <w:fldChar w:fldCharType="separate"/>
        </w:r>
        <w:r w:rsidR="007C1EE6">
          <w:rPr>
            <w:noProof/>
            <w:webHidden/>
          </w:rPr>
          <w:t>38</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10" w:history="1">
        <w:r w:rsidR="007C1EE6" w:rsidRPr="00F64A27">
          <w:rPr>
            <w:rStyle w:val="Hypertextovodkaz"/>
            <w:noProof/>
          </w:rPr>
          <w:t>Tabulka 34 – Současné působení vybraných ukazatelů</w:t>
        </w:r>
        <w:r w:rsidR="007C1EE6">
          <w:rPr>
            <w:noProof/>
            <w:webHidden/>
          </w:rPr>
          <w:tab/>
        </w:r>
        <w:r>
          <w:rPr>
            <w:noProof/>
            <w:webHidden/>
          </w:rPr>
          <w:fldChar w:fldCharType="begin"/>
        </w:r>
        <w:r w:rsidR="007C1EE6">
          <w:rPr>
            <w:noProof/>
            <w:webHidden/>
          </w:rPr>
          <w:instrText xml:space="preserve"> PAGEREF _Toc31054810 \h </w:instrText>
        </w:r>
        <w:r>
          <w:rPr>
            <w:noProof/>
            <w:webHidden/>
          </w:rPr>
        </w:r>
        <w:r>
          <w:rPr>
            <w:noProof/>
            <w:webHidden/>
          </w:rPr>
          <w:fldChar w:fldCharType="separate"/>
        </w:r>
        <w:r w:rsidR="007C1EE6">
          <w:rPr>
            <w:noProof/>
            <w:webHidden/>
          </w:rPr>
          <w:t>38</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11" w:history="1">
        <w:r w:rsidR="007C1EE6" w:rsidRPr="00F64A27">
          <w:rPr>
            <w:rStyle w:val="Hypertextovodkaz"/>
            <w:noProof/>
          </w:rPr>
          <w:t>Tabulka 35 Struktura zkoumaného datového souboru</w:t>
        </w:r>
        <w:r w:rsidR="007C1EE6">
          <w:rPr>
            <w:noProof/>
            <w:webHidden/>
          </w:rPr>
          <w:tab/>
        </w:r>
        <w:r>
          <w:rPr>
            <w:noProof/>
            <w:webHidden/>
          </w:rPr>
          <w:fldChar w:fldCharType="begin"/>
        </w:r>
        <w:r w:rsidR="007C1EE6">
          <w:rPr>
            <w:noProof/>
            <w:webHidden/>
          </w:rPr>
          <w:instrText xml:space="preserve"> PAGEREF _Toc31054811 \h </w:instrText>
        </w:r>
        <w:r>
          <w:rPr>
            <w:noProof/>
            <w:webHidden/>
          </w:rPr>
        </w:r>
        <w:r>
          <w:rPr>
            <w:noProof/>
            <w:webHidden/>
          </w:rPr>
          <w:fldChar w:fldCharType="separate"/>
        </w:r>
        <w:r w:rsidR="007C1EE6">
          <w:rPr>
            <w:noProof/>
            <w:webHidden/>
          </w:rPr>
          <w:t>40</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12" w:history="1">
        <w:r w:rsidR="007C1EE6" w:rsidRPr="00F64A27">
          <w:rPr>
            <w:rStyle w:val="Hypertextovodkaz"/>
            <w:noProof/>
          </w:rPr>
          <w:t>Tabulka 36 Marže</w:t>
        </w:r>
        <w:r w:rsidR="007C1EE6">
          <w:rPr>
            <w:noProof/>
            <w:webHidden/>
          </w:rPr>
          <w:tab/>
        </w:r>
        <w:r>
          <w:rPr>
            <w:noProof/>
            <w:webHidden/>
          </w:rPr>
          <w:fldChar w:fldCharType="begin"/>
        </w:r>
        <w:r w:rsidR="007C1EE6">
          <w:rPr>
            <w:noProof/>
            <w:webHidden/>
          </w:rPr>
          <w:instrText xml:space="preserve"> PAGEREF _Toc31054812 \h </w:instrText>
        </w:r>
        <w:r>
          <w:rPr>
            <w:noProof/>
            <w:webHidden/>
          </w:rPr>
        </w:r>
        <w:r>
          <w:rPr>
            <w:noProof/>
            <w:webHidden/>
          </w:rPr>
          <w:fldChar w:fldCharType="separate"/>
        </w:r>
        <w:r w:rsidR="007C1EE6">
          <w:rPr>
            <w:noProof/>
            <w:webHidden/>
          </w:rPr>
          <w:t>43</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13" w:history="1">
        <w:r w:rsidR="007C1EE6" w:rsidRPr="00F64A27">
          <w:rPr>
            <w:rStyle w:val="Hypertextovodkaz"/>
            <w:noProof/>
          </w:rPr>
          <w:t>Tabulka 37 Nákladovost</w:t>
        </w:r>
        <w:r w:rsidR="007C1EE6">
          <w:rPr>
            <w:noProof/>
            <w:webHidden/>
          </w:rPr>
          <w:tab/>
        </w:r>
        <w:r>
          <w:rPr>
            <w:noProof/>
            <w:webHidden/>
          </w:rPr>
          <w:fldChar w:fldCharType="begin"/>
        </w:r>
        <w:r w:rsidR="007C1EE6">
          <w:rPr>
            <w:noProof/>
            <w:webHidden/>
          </w:rPr>
          <w:instrText xml:space="preserve"> PAGEREF _Toc31054813 \h </w:instrText>
        </w:r>
        <w:r>
          <w:rPr>
            <w:noProof/>
            <w:webHidden/>
          </w:rPr>
        </w:r>
        <w:r>
          <w:rPr>
            <w:noProof/>
            <w:webHidden/>
          </w:rPr>
          <w:fldChar w:fldCharType="separate"/>
        </w:r>
        <w:r w:rsidR="007C1EE6">
          <w:rPr>
            <w:noProof/>
            <w:webHidden/>
          </w:rPr>
          <w:t>43</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14" w:history="1">
        <w:r w:rsidR="007C1EE6" w:rsidRPr="00F64A27">
          <w:rPr>
            <w:rStyle w:val="Hypertextovodkaz"/>
            <w:noProof/>
          </w:rPr>
          <w:t>Tabulka 38 Likvidita a pracovní kapitál</w:t>
        </w:r>
        <w:r w:rsidR="007C1EE6">
          <w:rPr>
            <w:noProof/>
            <w:webHidden/>
          </w:rPr>
          <w:tab/>
        </w:r>
        <w:r>
          <w:rPr>
            <w:noProof/>
            <w:webHidden/>
          </w:rPr>
          <w:fldChar w:fldCharType="begin"/>
        </w:r>
        <w:r w:rsidR="007C1EE6">
          <w:rPr>
            <w:noProof/>
            <w:webHidden/>
          </w:rPr>
          <w:instrText xml:space="preserve"> PAGEREF _Toc31054814 \h </w:instrText>
        </w:r>
        <w:r>
          <w:rPr>
            <w:noProof/>
            <w:webHidden/>
          </w:rPr>
        </w:r>
        <w:r>
          <w:rPr>
            <w:noProof/>
            <w:webHidden/>
          </w:rPr>
          <w:fldChar w:fldCharType="separate"/>
        </w:r>
        <w:r w:rsidR="007C1EE6">
          <w:rPr>
            <w:noProof/>
            <w:webHidden/>
          </w:rPr>
          <w:t>44</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15" w:history="1">
        <w:r w:rsidR="007C1EE6" w:rsidRPr="00F64A27">
          <w:rPr>
            <w:rStyle w:val="Hypertextovodkaz"/>
            <w:noProof/>
          </w:rPr>
          <w:t>Tabulka 39 Zadlužení</w:t>
        </w:r>
        <w:r w:rsidR="007C1EE6">
          <w:rPr>
            <w:noProof/>
            <w:webHidden/>
          </w:rPr>
          <w:tab/>
        </w:r>
        <w:r>
          <w:rPr>
            <w:noProof/>
            <w:webHidden/>
          </w:rPr>
          <w:fldChar w:fldCharType="begin"/>
        </w:r>
        <w:r w:rsidR="007C1EE6">
          <w:rPr>
            <w:noProof/>
            <w:webHidden/>
          </w:rPr>
          <w:instrText xml:space="preserve"> PAGEREF _Toc31054815 \h </w:instrText>
        </w:r>
        <w:r>
          <w:rPr>
            <w:noProof/>
            <w:webHidden/>
          </w:rPr>
        </w:r>
        <w:r>
          <w:rPr>
            <w:noProof/>
            <w:webHidden/>
          </w:rPr>
          <w:fldChar w:fldCharType="separate"/>
        </w:r>
        <w:r w:rsidR="007C1EE6">
          <w:rPr>
            <w:noProof/>
            <w:webHidden/>
          </w:rPr>
          <w:t>45</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16" w:history="1">
        <w:r w:rsidR="007C1EE6" w:rsidRPr="00F64A27">
          <w:rPr>
            <w:rStyle w:val="Hypertextovodkaz"/>
            <w:noProof/>
          </w:rPr>
          <w:t>Tabulka 40 Rentabilita</w:t>
        </w:r>
        <w:r w:rsidR="007C1EE6">
          <w:rPr>
            <w:noProof/>
            <w:webHidden/>
          </w:rPr>
          <w:tab/>
        </w:r>
        <w:r>
          <w:rPr>
            <w:noProof/>
            <w:webHidden/>
          </w:rPr>
          <w:fldChar w:fldCharType="begin"/>
        </w:r>
        <w:r w:rsidR="007C1EE6">
          <w:rPr>
            <w:noProof/>
            <w:webHidden/>
          </w:rPr>
          <w:instrText xml:space="preserve"> PAGEREF _Toc31054816 \h </w:instrText>
        </w:r>
        <w:r>
          <w:rPr>
            <w:noProof/>
            <w:webHidden/>
          </w:rPr>
        </w:r>
        <w:r>
          <w:rPr>
            <w:noProof/>
            <w:webHidden/>
          </w:rPr>
          <w:fldChar w:fldCharType="separate"/>
        </w:r>
        <w:r w:rsidR="007C1EE6">
          <w:rPr>
            <w:noProof/>
            <w:webHidden/>
          </w:rPr>
          <w:t>45</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17" w:history="1">
        <w:r w:rsidR="007C1EE6" w:rsidRPr="00F64A27">
          <w:rPr>
            <w:rStyle w:val="Hypertextovodkaz"/>
            <w:noProof/>
          </w:rPr>
          <w:t>Tabulka 41 Doba obratu nepeněžních složek pracovního kapitálu</w:t>
        </w:r>
        <w:r w:rsidR="007C1EE6">
          <w:rPr>
            <w:noProof/>
            <w:webHidden/>
          </w:rPr>
          <w:tab/>
        </w:r>
        <w:r>
          <w:rPr>
            <w:noProof/>
            <w:webHidden/>
          </w:rPr>
          <w:fldChar w:fldCharType="begin"/>
        </w:r>
        <w:r w:rsidR="007C1EE6">
          <w:rPr>
            <w:noProof/>
            <w:webHidden/>
          </w:rPr>
          <w:instrText xml:space="preserve"> PAGEREF _Toc31054817 \h </w:instrText>
        </w:r>
        <w:r>
          <w:rPr>
            <w:noProof/>
            <w:webHidden/>
          </w:rPr>
        </w:r>
        <w:r>
          <w:rPr>
            <w:noProof/>
            <w:webHidden/>
          </w:rPr>
          <w:fldChar w:fldCharType="separate"/>
        </w:r>
        <w:r w:rsidR="007C1EE6">
          <w:rPr>
            <w:noProof/>
            <w:webHidden/>
          </w:rPr>
          <w:t>46</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18" w:history="1">
        <w:r w:rsidR="007C1EE6" w:rsidRPr="00F64A27">
          <w:rPr>
            <w:rStyle w:val="Hypertextovodkaz"/>
            <w:noProof/>
          </w:rPr>
          <w:t>Tabulka 42 Syntetické ukazatele</w:t>
        </w:r>
        <w:r w:rsidR="007C1EE6">
          <w:rPr>
            <w:noProof/>
            <w:webHidden/>
          </w:rPr>
          <w:tab/>
        </w:r>
        <w:r>
          <w:rPr>
            <w:noProof/>
            <w:webHidden/>
          </w:rPr>
          <w:fldChar w:fldCharType="begin"/>
        </w:r>
        <w:r w:rsidR="007C1EE6">
          <w:rPr>
            <w:noProof/>
            <w:webHidden/>
          </w:rPr>
          <w:instrText xml:space="preserve"> PAGEREF _Toc31054818 \h </w:instrText>
        </w:r>
        <w:r>
          <w:rPr>
            <w:noProof/>
            <w:webHidden/>
          </w:rPr>
        </w:r>
        <w:r>
          <w:rPr>
            <w:noProof/>
            <w:webHidden/>
          </w:rPr>
          <w:fldChar w:fldCharType="separate"/>
        </w:r>
        <w:r w:rsidR="007C1EE6">
          <w:rPr>
            <w:noProof/>
            <w:webHidden/>
          </w:rPr>
          <w:t>46</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19" w:history="1">
        <w:r w:rsidR="007C1EE6" w:rsidRPr="00F64A27">
          <w:rPr>
            <w:rStyle w:val="Hypertextovodkaz"/>
            <w:noProof/>
          </w:rPr>
          <w:t>Tabulka 43 Polarita úrovní tvorby zisku</w:t>
        </w:r>
        <w:r w:rsidR="007C1EE6">
          <w:rPr>
            <w:noProof/>
            <w:webHidden/>
          </w:rPr>
          <w:tab/>
        </w:r>
        <w:r>
          <w:rPr>
            <w:noProof/>
            <w:webHidden/>
          </w:rPr>
          <w:fldChar w:fldCharType="begin"/>
        </w:r>
        <w:r w:rsidR="007C1EE6">
          <w:rPr>
            <w:noProof/>
            <w:webHidden/>
          </w:rPr>
          <w:instrText xml:space="preserve"> PAGEREF _Toc31054819 \h </w:instrText>
        </w:r>
        <w:r>
          <w:rPr>
            <w:noProof/>
            <w:webHidden/>
          </w:rPr>
        </w:r>
        <w:r>
          <w:rPr>
            <w:noProof/>
            <w:webHidden/>
          </w:rPr>
          <w:fldChar w:fldCharType="separate"/>
        </w:r>
        <w:r w:rsidR="007C1EE6">
          <w:rPr>
            <w:noProof/>
            <w:webHidden/>
          </w:rPr>
          <w:t>47</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20" w:history="1">
        <w:r w:rsidR="007C1EE6" w:rsidRPr="00F64A27">
          <w:rPr>
            <w:rStyle w:val="Hypertextovodkaz"/>
            <w:noProof/>
          </w:rPr>
          <w:t>Tabulka 44 Polarita nutné hotovosti</w:t>
        </w:r>
        <w:r w:rsidR="007C1EE6">
          <w:rPr>
            <w:noProof/>
            <w:webHidden/>
          </w:rPr>
          <w:tab/>
        </w:r>
        <w:r>
          <w:rPr>
            <w:noProof/>
            <w:webHidden/>
          </w:rPr>
          <w:fldChar w:fldCharType="begin"/>
        </w:r>
        <w:r w:rsidR="007C1EE6">
          <w:rPr>
            <w:noProof/>
            <w:webHidden/>
          </w:rPr>
          <w:instrText xml:space="preserve"> PAGEREF _Toc31054820 \h </w:instrText>
        </w:r>
        <w:r>
          <w:rPr>
            <w:noProof/>
            <w:webHidden/>
          </w:rPr>
        </w:r>
        <w:r>
          <w:rPr>
            <w:noProof/>
            <w:webHidden/>
          </w:rPr>
          <w:fldChar w:fldCharType="separate"/>
        </w:r>
        <w:r w:rsidR="007C1EE6">
          <w:rPr>
            <w:noProof/>
            <w:webHidden/>
          </w:rPr>
          <w:t>48</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21" w:history="1">
        <w:r w:rsidR="007C1EE6" w:rsidRPr="00F64A27">
          <w:rPr>
            <w:rStyle w:val="Hypertextovodkaz"/>
            <w:noProof/>
          </w:rPr>
          <w:t>Tabulka 45 Polarita salda aktivních a pasivních nepeněžních složek pracovního kapitálu</w:t>
        </w:r>
        <w:r w:rsidR="007C1EE6">
          <w:rPr>
            <w:noProof/>
            <w:webHidden/>
          </w:rPr>
          <w:tab/>
        </w:r>
        <w:r>
          <w:rPr>
            <w:noProof/>
            <w:webHidden/>
          </w:rPr>
          <w:fldChar w:fldCharType="begin"/>
        </w:r>
        <w:r w:rsidR="007C1EE6">
          <w:rPr>
            <w:noProof/>
            <w:webHidden/>
          </w:rPr>
          <w:instrText xml:space="preserve"> PAGEREF _Toc31054821 \h </w:instrText>
        </w:r>
        <w:r>
          <w:rPr>
            <w:noProof/>
            <w:webHidden/>
          </w:rPr>
        </w:r>
        <w:r>
          <w:rPr>
            <w:noProof/>
            <w:webHidden/>
          </w:rPr>
          <w:fldChar w:fldCharType="separate"/>
        </w:r>
        <w:r w:rsidR="007C1EE6">
          <w:rPr>
            <w:noProof/>
            <w:webHidden/>
          </w:rPr>
          <w:t>48</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22" w:history="1">
        <w:r w:rsidR="007C1EE6" w:rsidRPr="00F64A27">
          <w:rPr>
            <w:rStyle w:val="Hypertextovodkaz"/>
            <w:noProof/>
          </w:rPr>
          <w:t>Tabulka 46 Polarita vlastního kapitálu</w:t>
        </w:r>
        <w:r w:rsidR="007C1EE6">
          <w:rPr>
            <w:noProof/>
            <w:webHidden/>
          </w:rPr>
          <w:tab/>
        </w:r>
        <w:r>
          <w:rPr>
            <w:noProof/>
            <w:webHidden/>
          </w:rPr>
          <w:fldChar w:fldCharType="begin"/>
        </w:r>
        <w:r w:rsidR="007C1EE6">
          <w:rPr>
            <w:noProof/>
            <w:webHidden/>
          </w:rPr>
          <w:instrText xml:space="preserve"> PAGEREF _Toc31054822 \h </w:instrText>
        </w:r>
        <w:r>
          <w:rPr>
            <w:noProof/>
            <w:webHidden/>
          </w:rPr>
        </w:r>
        <w:r>
          <w:rPr>
            <w:noProof/>
            <w:webHidden/>
          </w:rPr>
          <w:fldChar w:fldCharType="separate"/>
        </w:r>
        <w:r w:rsidR="007C1EE6">
          <w:rPr>
            <w:noProof/>
            <w:webHidden/>
          </w:rPr>
          <w:t>49</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23" w:history="1">
        <w:r w:rsidR="007C1EE6" w:rsidRPr="00F64A27">
          <w:rPr>
            <w:rStyle w:val="Hypertextovodkaz"/>
            <w:noProof/>
          </w:rPr>
          <w:t>Tabulka 47 Polarita financování dlouhodobého majetku</w:t>
        </w:r>
        <w:r w:rsidR="007C1EE6">
          <w:rPr>
            <w:noProof/>
            <w:webHidden/>
          </w:rPr>
          <w:tab/>
        </w:r>
        <w:r>
          <w:rPr>
            <w:noProof/>
            <w:webHidden/>
          </w:rPr>
          <w:fldChar w:fldCharType="begin"/>
        </w:r>
        <w:r w:rsidR="007C1EE6">
          <w:rPr>
            <w:noProof/>
            <w:webHidden/>
          </w:rPr>
          <w:instrText xml:space="preserve"> PAGEREF _Toc31054823 \h </w:instrText>
        </w:r>
        <w:r>
          <w:rPr>
            <w:noProof/>
            <w:webHidden/>
          </w:rPr>
        </w:r>
        <w:r>
          <w:rPr>
            <w:noProof/>
            <w:webHidden/>
          </w:rPr>
          <w:fldChar w:fldCharType="separate"/>
        </w:r>
        <w:r w:rsidR="007C1EE6">
          <w:rPr>
            <w:noProof/>
            <w:webHidden/>
          </w:rPr>
          <w:t>49</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24" w:history="1">
        <w:r w:rsidR="007C1EE6" w:rsidRPr="00F64A27">
          <w:rPr>
            <w:rStyle w:val="Hypertextovodkaz"/>
            <w:noProof/>
          </w:rPr>
          <w:t>Tabulka 48 Syntetické ukazatele</w:t>
        </w:r>
        <w:r w:rsidR="007C1EE6">
          <w:rPr>
            <w:noProof/>
            <w:webHidden/>
          </w:rPr>
          <w:tab/>
        </w:r>
        <w:r>
          <w:rPr>
            <w:noProof/>
            <w:webHidden/>
          </w:rPr>
          <w:fldChar w:fldCharType="begin"/>
        </w:r>
        <w:r w:rsidR="007C1EE6">
          <w:rPr>
            <w:noProof/>
            <w:webHidden/>
          </w:rPr>
          <w:instrText xml:space="preserve"> PAGEREF _Toc31054824 \h </w:instrText>
        </w:r>
        <w:r>
          <w:rPr>
            <w:noProof/>
            <w:webHidden/>
          </w:rPr>
        </w:r>
        <w:r>
          <w:rPr>
            <w:noProof/>
            <w:webHidden/>
          </w:rPr>
          <w:fldChar w:fldCharType="separate"/>
        </w:r>
        <w:r w:rsidR="007C1EE6">
          <w:rPr>
            <w:noProof/>
            <w:webHidden/>
          </w:rPr>
          <w:t>50</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25" w:history="1">
        <w:r w:rsidR="007C1EE6" w:rsidRPr="00F64A27">
          <w:rPr>
            <w:rStyle w:val="Hypertextovodkaz"/>
            <w:noProof/>
          </w:rPr>
          <w:t>Tabulka 49 Struktura datového sboru</w:t>
        </w:r>
        <w:r w:rsidR="007C1EE6">
          <w:rPr>
            <w:noProof/>
            <w:webHidden/>
          </w:rPr>
          <w:tab/>
        </w:r>
        <w:r>
          <w:rPr>
            <w:noProof/>
            <w:webHidden/>
          </w:rPr>
          <w:fldChar w:fldCharType="begin"/>
        </w:r>
        <w:r w:rsidR="007C1EE6">
          <w:rPr>
            <w:noProof/>
            <w:webHidden/>
          </w:rPr>
          <w:instrText xml:space="preserve"> PAGEREF _Toc31054825 \h </w:instrText>
        </w:r>
        <w:r>
          <w:rPr>
            <w:noProof/>
            <w:webHidden/>
          </w:rPr>
        </w:r>
        <w:r>
          <w:rPr>
            <w:noProof/>
            <w:webHidden/>
          </w:rPr>
          <w:fldChar w:fldCharType="separate"/>
        </w:r>
        <w:r w:rsidR="007C1EE6">
          <w:rPr>
            <w:noProof/>
            <w:webHidden/>
          </w:rPr>
          <w:t>53</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26" w:history="1">
        <w:r w:rsidR="007C1EE6" w:rsidRPr="00F64A27">
          <w:rPr>
            <w:rStyle w:val="Hypertextovodkaz"/>
            <w:noProof/>
          </w:rPr>
          <w:t>Tabulka 50 Mezera krytí</w:t>
        </w:r>
        <w:r w:rsidR="007C1EE6">
          <w:rPr>
            <w:noProof/>
            <w:webHidden/>
          </w:rPr>
          <w:tab/>
        </w:r>
        <w:r>
          <w:rPr>
            <w:noProof/>
            <w:webHidden/>
          </w:rPr>
          <w:fldChar w:fldCharType="begin"/>
        </w:r>
        <w:r w:rsidR="007C1EE6">
          <w:rPr>
            <w:noProof/>
            <w:webHidden/>
          </w:rPr>
          <w:instrText xml:space="preserve"> PAGEREF _Toc31054826 \h </w:instrText>
        </w:r>
        <w:r>
          <w:rPr>
            <w:noProof/>
            <w:webHidden/>
          </w:rPr>
        </w:r>
        <w:r>
          <w:rPr>
            <w:noProof/>
            <w:webHidden/>
          </w:rPr>
          <w:fldChar w:fldCharType="separate"/>
        </w:r>
        <w:r w:rsidR="007C1EE6">
          <w:rPr>
            <w:noProof/>
            <w:webHidden/>
          </w:rPr>
          <w:t>57</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27" w:history="1">
        <w:r w:rsidR="007C1EE6" w:rsidRPr="00F64A27">
          <w:rPr>
            <w:rStyle w:val="Hypertextovodkaz"/>
            <w:noProof/>
          </w:rPr>
          <w:t>Tabulka 51 Polarita přidané hodnoty</w:t>
        </w:r>
        <w:r w:rsidR="007C1EE6">
          <w:rPr>
            <w:noProof/>
            <w:webHidden/>
          </w:rPr>
          <w:tab/>
        </w:r>
        <w:r>
          <w:rPr>
            <w:noProof/>
            <w:webHidden/>
          </w:rPr>
          <w:fldChar w:fldCharType="begin"/>
        </w:r>
        <w:r w:rsidR="007C1EE6">
          <w:rPr>
            <w:noProof/>
            <w:webHidden/>
          </w:rPr>
          <w:instrText xml:space="preserve"> PAGEREF _Toc31054827 \h </w:instrText>
        </w:r>
        <w:r>
          <w:rPr>
            <w:noProof/>
            <w:webHidden/>
          </w:rPr>
        </w:r>
        <w:r>
          <w:rPr>
            <w:noProof/>
            <w:webHidden/>
          </w:rPr>
          <w:fldChar w:fldCharType="separate"/>
        </w:r>
        <w:r w:rsidR="007C1EE6">
          <w:rPr>
            <w:noProof/>
            <w:webHidden/>
          </w:rPr>
          <w:t>58</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28" w:history="1">
        <w:r w:rsidR="007C1EE6" w:rsidRPr="00F64A27">
          <w:rPr>
            <w:rStyle w:val="Hypertextovodkaz"/>
            <w:noProof/>
          </w:rPr>
          <w:t>Tabulka 52 Polarita primární EBITDA</w:t>
        </w:r>
        <w:r w:rsidR="007C1EE6">
          <w:rPr>
            <w:noProof/>
            <w:webHidden/>
          </w:rPr>
          <w:tab/>
        </w:r>
        <w:r>
          <w:rPr>
            <w:noProof/>
            <w:webHidden/>
          </w:rPr>
          <w:fldChar w:fldCharType="begin"/>
        </w:r>
        <w:r w:rsidR="007C1EE6">
          <w:rPr>
            <w:noProof/>
            <w:webHidden/>
          </w:rPr>
          <w:instrText xml:space="preserve"> PAGEREF _Toc31054828 \h </w:instrText>
        </w:r>
        <w:r>
          <w:rPr>
            <w:noProof/>
            <w:webHidden/>
          </w:rPr>
        </w:r>
        <w:r>
          <w:rPr>
            <w:noProof/>
            <w:webHidden/>
          </w:rPr>
          <w:fldChar w:fldCharType="separate"/>
        </w:r>
        <w:r w:rsidR="007C1EE6">
          <w:rPr>
            <w:noProof/>
            <w:webHidden/>
          </w:rPr>
          <w:t>58</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29" w:history="1">
        <w:r w:rsidR="007C1EE6" w:rsidRPr="00F64A27">
          <w:rPr>
            <w:rStyle w:val="Hypertextovodkaz"/>
            <w:noProof/>
          </w:rPr>
          <w:t>Tabulka 53 Polarita provozní EBITDA</w:t>
        </w:r>
        <w:r w:rsidR="007C1EE6">
          <w:rPr>
            <w:noProof/>
            <w:webHidden/>
          </w:rPr>
          <w:tab/>
        </w:r>
        <w:r>
          <w:rPr>
            <w:noProof/>
            <w:webHidden/>
          </w:rPr>
          <w:fldChar w:fldCharType="begin"/>
        </w:r>
        <w:r w:rsidR="007C1EE6">
          <w:rPr>
            <w:noProof/>
            <w:webHidden/>
          </w:rPr>
          <w:instrText xml:space="preserve"> PAGEREF _Toc31054829 \h </w:instrText>
        </w:r>
        <w:r>
          <w:rPr>
            <w:noProof/>
            <w:webHidden/>
          </w:rPr>
        </w:r>
        <w:r>
          <w:rPr>
            <w:noProof/>
            <w:webHidden/>
          </w:rPr>
          <w:fldChar w:fldCharType="separate"/>
        </w:r>
        <w:r w:rsidR="007C1EE6">
          <w:rPr>
            <w:noProof/>
            <w:webHidden/>
          </w:rPr>
          <w:t>58</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30" w:history="1">
        <w:r w:rsidR="007C1EE6" w:rsidRPr="00F64A27">
          <w:rPr>
            <w:rStyle w:val="Hypertextovodkaz"/>
            <w:noProof/>
          </w:rPr>
          <w:t>Tabulka 54 Polarita nutné hotovosti</w:t>
        </w:r>
        <w:r w:rsidR="007C1EE6">
          <w:rPr>
            <w:noProof/>
            <w:webHidden/>
          </w:rPr>
          <w:tab/>
        </w:r>
        <w:r>
          <w:rPr>
            <w:noProof/>
            <w:webHidden/>
          </w:rPr>
          <w:fldChar w:fldCharType="begin"/>
        </w:r>
        <w:r w:rsidR="007C1EE6">
          <w:rPr>
            <w:noProof/>
            <w:webHidden/>
          </w:rPr>
          <w:instrText xml:space="preserve"> PAGEREF _Toc31054830 \h </w:instrText>
        </w:r>
        <w:r>
          <w:rPr>
            <w:noProof/>
            <w:webHidden/>
          </w:rPr>
        </w:r>
        <w:r>
          <w:rPr>
            <w:noProof/>
            <w:webHidden/>
          </w:rPr>
          <w:fldChar w:fldCharType="separate"/>
        </w:r>
        <w:r w:rsidR="007C1EE6">
          <w:rPr>
            <w:noProof/>
            <w:webHidden/>
          </w:rPr>
          <w:t>59</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31" w:history="1">
        <w:r w:rsidR="007C1EE6" w:rsidRPr="00F64A27">
          <w:rPr>
            <w:rStyle w:val="Hypertextovodkaz"/>
            <w:noProof/>
          </w:rPr>
          <w:t>Tabulka 55 Polarita primárních NSPK</w:t>
        </w:r>
        <w:r w:rsidR="007C1EE6">
          <w:rPr>
            <w:noProof/>
            <w:webHidden/>
          </w:rPr>
          <w:tab/>
        </w:r>
        <w:r>
          <w:rPr>
            <w:noProof/>
            <w:webHidden/>
          </w:rPr>
          <w:fldChar w:fldCharType="begin"/>
        </w:r>
        <w:r w:rsidR="007C1EE6">
          <w:rPr>
            <w:noProof/>
            <w:webHidden/>
          </w:rPr>
          <w:instrText xml:space="preserve"> PAGEREF _Toc31054831 \h </w:instrText>
        </w:r>
        <w:r>
          <w:rPr>
            <w:noProof/>
            <w:webHidden/>
          </w:rPr>
        </w:r>
        <w:r>
          <w:rPr>
            <w:noProof/>
            <w:webHidden/>
          </w:rPr>
          <w:fldChar w:fldCharType="separate"/>
        </w:r>
        <w:r w:rsidR="007C1EE6">
          <w:rPr>
            <w:noProof/>
            <w:webHidden/>
          </w:rPr>
          <w:t>59</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32" w:history="1">
        <w:r w:rsidR="007C1EE6" w:rsidRPr="00F64A27">
          <w:rPr>
            <w:rStyle w:val="Hypertextovodkaz"/>
            <w:noProof/>
          </w:rPr>
          <w:t>Tabulka 56 Polarita NSPK (celkových)</w:t>
        </w:r>
        <w:r w:rsidR="007C1EE6">
          <w:rPr>
            <w:noProof/>
            <w:webHidden/>
          </w:rPr>
          <w:tab/>
        </w:r>
        <w:r>
          <w:rPr>
            <w:noProof/>
            <w:webHidden/>
          </w:rPr>
          <w:fldChar w:fldCharType="begin"/>
        </w:r>
        <w:r w:rsidR="007C1EE6">
          <w:rPr>
            <w:noProof/>
            <w:webHidden/>
          </w:rPr>
          <w:instrText xml:space="preserve"> PAGEREF _Toc31054832 \h </w:instrText>
        </w:r>
        <w:r>
          <w:rPr>
            <w:noProof/>
            <w:webHidden/>
          </w:rPr>
        </w:r>
        <w:r>
          <w:rPr>
            <w:noProof/>
            <w:webHidden/>
          </w:rPr>
          <w:fldChar w:fldCharType="separate"/>
        </w:r>
        <w:r w:rsidR="007C1EE6">
          <w:rPr>
            <w:noProof/>
            <w:webHidden/>
          </w:rPr>
          <w:t>60</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33" w:history="1">
        <w:r w:rsidR="007C1EE6" w:rsidRPr="00F64A27">
          <w:rPr>
            <w:rStyle w:val="Hypertextovodkaz"/>
            <w:noProof/>
          </w:rPr>
          <w:t>Tabulka 57 Polarita financování dlouhodobého majetku</w:t>
        </w:r>
        <w:r w:rsidR="007C1EE6">
          <w:rPr>
            <w:noProof/>
            <w:webHidden/>
          </w:rPr>
          <w:tab/>
        </w:r>
        <w:r>
          <w:rPr>
            <w:noProof/>
            <w:webHidden/>
          </w:rPr>
          <w:fldChar w:fldCharType="begin"/>
        </w:r>
        <w:r w:rsidR="007C1EE6">
          <w:rPr>
            <w:noProof/>
            <w:webHidden/>
          </w:rPr>
          <w:instrText xml:space="preserve"> PAGEREF _Toc31054833 \h </w:instrText>
        </w:r>
        <w:r>
          <w:rPr>
            <w:noProof/>
            <w:webHidden/>
          </w:rPr>
        </w:r>
        <w:r>
          <w:rPr>
            <w:noProof/>
            <w:webHidden/>
          </w:rPr>
          <w:fldChar w:fldCharType="separate"/>
        </w:r>
        <w:r w:rsidR="007C1EE6">
          <w:rPr>
            <w:noProof/>
            <w:webHidden/>
          </w:rPr>
          <w:t>60</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34" w:history="1">
        <w:r w:rsidR="007C1EE6" w:rsidRPr="00F64A27">
          <w:rPr>
            <w:rStyle w:val="Hypertextovodkaz"/>
            <w:noProof/>
          </w:rPr>
          <w:t>Tabulka 58 Polarita vlastního kapitálu</w:t>
        </w:r>
        <w:r w:rsidR="007C1EE6">
          <w:rPr>
            <w:noProof/>
            <w:webHidden/>
          </w:rPr>
          <w:tab/>
        </w:r>
        <w:r>
          <w:rPr>
            <w:noProof/>
            <w:webHidden/>
          </w:rPr>
          <w:fldChar w:fldCharType="begin"/>
        </w:r>
        <w:r w:rsidR="007C1EE6">
          <w:rPr>
            <w:noProof/>
            <w:webHidden/>
          </w:rPr>
          <w:instrText xml:space="preserve"> PAGEREF _Toc31054834 \h </w:instrText>
        </w:r>
        <w:r>
          <w:rPr>
            <w:noProof/>
            <w:webHidden/>
          </w:rPr>
        </w:r>
        <w:r>
          <w:rPr>
            <w:noProof/>
            <w:webHidden/>
          </w:rPr>
          <w:fldChar w:fldCharType="separate"/>
        </w:r>
        <w:r w:rsidR="007C1EE6">
          <w:rPr>
            <w:noProof/>
            <w:webHidden/>
          </w:rPr>
          <w:t>61</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35" w:history="1">
        <w:r w:rsidR="007C1EE6" w:rsidRPr="00F64A27">
          <w:rPr>
            <w:rStyle w:val="Hypertextovodkaz"/>
            <w:noProof/>
          </w:rPr>
          <w:t>Tabulka 59  Průměr a medián mezery krytí</w:t>
        </w:r>
        <w:r w:rsidR="007C1EE6">
          <w:rPr>
            <w:noProof/>
            <w:webHidden/>
          </w:rPr>
          <w:tab/>
        </w:r>
        <w:r>
          <w:rPr>
            <w:noProof/>
            <w:webHidden/>
          </w:rPr>
          <w:fldChar w:fldCharType="begin"/>
        </w:r>
        <w:r w:rsidR="007C1EE6">
          <w:rPr>
            <w:noProof/>
            <w:webHidden/>
          </w:rPr>
          <w:instrText xml:space="preserve"> PAGEREF _Toc31054835 \h </w:instrText>
        </w:r>
        <w:r>
          <w:rPr>
            <w:noProof/>
            <w:webHidden/>
          </w:rPr>
        </w:r>
        <w:r>
          <w:rPr>
            <w:noProof/>
            <w:webHidden/>
          </w:rPr>
          <w:fldChar w:fldCharType="separate"/>
        </w:r>
        <w:r w:rsidR="007C1EE6">
          <w:rPr>
            <w:noProof/>
            <w:webHidden/>
          </w:rPr>
          <w:t>77</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836" w:history="1">
        <w:r w:rsidR="007C1EE6" w:rsidRPr="00F64A27">
          <w:rPr>
            <w:rStyle w:val="Hypertextovodkaz"/>
            <w:noProof/>
          </w:rPr>
          <w:t>Tabulka 60  Výskyt mezery krytí</w:t>
        </w:r>
        <w:r w:rsidR="007C1EE6">
          <w:rPr>
            <w:noProof/>
            <w:webHidden/>
          </w:rPr>
          <w:tab/>
        </w:r>
        <w:r>
          <w:rPr>
            <w:noProof/>
            <w:webHidden/>
          </w:rPr>
          <w:fldChar w:fldCharType="begin"/>
        </w:r>
        <w:r w:rsidR="007C1EE6">
          <w:rPr>
            <w:noProof/>
            <w:webHidden/>
          </w:rPr>
          <w:instrText xml:space="preserve"> PAGEREF _Toc31054836 \h </w:instrText>
        </w:r>
        <w:r>
          <w:rPr>
            <w:noProof/>
            <w:webHidden/>
          </w:rPr>
        </w:r>
        <w:r>
          <w:rPr>
            <w:noProof/>
            <w:webHidden/>
          </w:rPr>
          <w:fldChar w:fldCharType="separate"/>
        </w:r>
        <w:r w:rsidR="007C1EE6">
          <w:rPr>
            <w:noProof/>
            <w:webHidden/>
          </w:rPr>
          <w:t>77</w:t>
        </w:r>
        <w:r>
          <w:rPr>
            <w:noProof/>
            <w:webHidden/>
          </w:rPr>
          <w:fldChar w:fldCharType="end"/>
        </w:r>
      </w:hyperlink>
    </w:p>
    <w:p w:rsidR="007772C5" w:rsidRDefault="00163A91">
      <w:pPr>
        <w:jc w:val="left"/>
        <w:rPr>
          <w:b/>
          <w:szCs w:val="24"/>
          <w:u w:val="single"/>
        </w:rPr>
      </w:pPr>
      <w:r>
        <w:rPr>
          <w:b/>
          <w:szCs w:val="24"/>
          <w:u w:val="single"/>
        </w:rPr>
        <w:fldChar w:fldCharType="end"/>
      </w:r>
    </w:p>
    <w:p w:rsidR="0037729D" w:rsidRDefault="0037729D">
      <w:pPr>
        <w:jc w:val="left"/>
        <w:rPr>
          <w:b/>
        </w:rPr>
      </w:pPr>
      <w:r>
        <w:rPr>
          <w:b/>
        </w:rPr>
        <w:br w:type="page"/>
      </w:r>
    </w:p>
    <w:p w:rsidR="0092584C" w:rsidRPr="007772C5" w:rsidRDefault="007772C5" w:rsidP="007772C5">
      <w:pPr>
        <w:rPr>
          <w:b/>
        </w:rPr>
      </w:pPr>
      <w:r w:rsidRPr="007772C5">
        <w:rPr>
          <w:b/>
        </w:rPr>
        <w:lastRenderedPageBreak/>
        <w:t>Seznam Grafů</w:t>
      </w:r>
    </w:p>
    <w:p w:rsidR="007C1EE6" w:rsidRDefault="00163A91">
      <w:pPr>
        <w:pStyle w:val="Seznamobrzk"/>
        <w:tabs>
          <w:tab w:val="right" w:leader="dot" w:pos="9062"/>
        </w:tabs>
        <w:rPr>
          <w:rFonts w:asciiTheme="minorHAnsi" w:eastAsiaTheme="minorEastAsia" w:hAnsiTheme="minorHAnsi"/>
          <w:noProof/>
          <w:sz w:val="22"/>
          <w:lang w:eastAsia="cs-CZ"/>
        </w:rPr>
      </w:pPr>
      <w:r>
        <w:rPr>
          <w:b/>
          <w:szCs w:val="24"/>
          <w:u w:val="single"/>
        </w:rPr>
        <w:fldChar w:fldCharType="begin"/>
      </w:r>
      <w:r w:rsidR="007772C5">
        <w:rPr>
          <w:b/>
          <w:szCs w:val="24"/>
          <w:u w:val="single"/>
        </w:rPr>
        <w:instrText xml:space="preserve"> TOC \h \z \c "Graf" </w:instrText>
      </w:r>
      <w:r>
        <w:rPr>
          <w:b/>
          <w:szCs w:val="24"/>
          <w:u w:val="single"/>
        </w:rPr>
        <w:fldChar w:fldCharType="separate"/>
      </w:r>
      <w:hyperlink w:anchor="_Toc31054919" w:history="1">
        <w:r w:rsidR="007C1EE6" w:rsidRPr="00D71B03">
          <w:rPr>
            <w:rStyle w:val="Hypertextovodkaz"/>
            <w:noProof/>
          </w:rPr>
          <w:t>Graf 1 – Rozdělení četností indexu IN05</w:t>
        </w:r>
        <w:r w:rsidR="007C1EE6">
          <w:rPr>
            <w:noProof/>
            <w:webHidden/>
          </w:rPr>
          <w:tab/>
        </w:r>
        <w:r>
          <w:rPr>
            <w:noProof/>
            <w:webHidden/>
          </w:rPr>
          <w:fldChar w:fldCharType="begin"/>
        </w:r>
        <w:r w:rsidR="007C1EE6">
          <w:rPr>
            <w:noProof/>
            <w:webHidden/>
          </w:rPr>
          <w:instrText xml:space="preserve"> PAGEREF _Toc31054919 \h </w:instrText>
        </w:r>
        <w:r>
          <w:rPr>
            <w:noProof/>
            <w:webHidden/>
          </w:rPr>
        </w:r>
        <w:r>
          <w:rPr>
            <w:noProof/>
            <w:webHidden/>
          </w:rPr>
          <w:fldChar w:fldCharType="separate"/>
        </w:r>
        <w:r w:rsidR="007C1EE6">
          <w:rPr>
            <w:noProof/>
            <w:webHidden/>
          </w:rPr>
          <w:t>21</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920" w:history="1">
        <w:r w:rsidR="007C1EE6" w:rsidRPr="00D71B03">
          <w:rPr>
            <w:rStyle w:val="Hypertextovodkaz"/>
            <w:noProof/>
          </w:rPr>
          <w:t>Graf 2Interval marže přidané hodnoty</w:t>
        </w:r>
        <w:r w:rsidR="007C1EE6">
          <w:rPr>
            <w:noProof/>
            <w:webHidden/>
          </w:rPr>
          <w:tab/>
        </w:r>
        <w:r>
          <w:rPr>
            <w:noProof/>
            <w:webHidden/>
          </w:rPr>
          <w:fldChar w:fldCharType="begin"/>
        </w:r>
        <w:r w:rsidR="007C1EE6">
          <w:rPr>
            <w:noProof/>
            <w:webHidden/>
          </w:rPr>
          <w:instrText xml:space="preserve"> PAGEREF _Toc31054920 \h </w:instrText>
        </w:r>
        <w:r>
          <w:rPr>
            <w:noProof/>
            <w:webHidden/>
          </w:rPr>
        </w:r>
        <w:r>
          <w:rPr>
            <w:noProof/>
            <w:webHidden/>
          </w:rPr>
          <w:fldChar w:fldCharType="separate"/>
        </w:r>
        <w:r w:rsidR="007C1EE6">
          <w:rPr>
            <w:noProof/>
            <w:webHidden/>
          </w:rPr>
          <w:t>62</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921" w:history="1">
        <w:r w:rsidR="007C1EE6" w:rsidRPr="00D71B03">
          <w:rPr>
            <w:rStyle w:val="Hypertextovodkaz"/>
            <w:noProof/>
          </w:rPr>
          <w:t>Graf 3 Interval marže primární EBITDA</w:t>
        </w:r>
        <w:r w:rsidR="007C1EE6">
          <w:rPr>
            <w:noProof/>
            <w:webHidden/>
          </w:rPr>
          <w:tab/>
        </w:r>
        <w:r>
          <w:rPr>
            <w:noProof/>
            <w:webHidden/>
          </w:rPr>
          <w:fldChar w:fldCharType="begin"/>
        </w:r>
        <w:r w:rsidR="007C1EE6">
          <w:rPr>
            <w:noProof/>
            <w:webHidden/>
          </w:rPr>
          <w:instrText xml:space="preserve"> PAGEREF _Toc31054921 \h </w:instrText>
        </w:r>
        <w:r>
          <w:rPr>
            <w:noProof/>
            <w:webHidden/>
          </w:rPr>
        </w:r>
        <w:r>
          <w:rPr>
            <w:noProof/>
            <w:webHidden/>
          </w:rPr>
          <w:fldChar w:fldCharType="separate"/>
        </w:r>
        <w:r w:rsidR="007C1EE6">
          <w:rPr>
            <w:noProof/>
            <w:webHidden/>
          </w:rPr>
          <w:t>63</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922" w:history="1">
        <w:r w:rsidR="007C1EE6" w:rsidRPr="00D71B03">
          <w:rPr>
            <w:rStyle w:val="Hypertextovodkaz"/>
            <w:noProof/>
          </w:rPr>
          <w:t>Graf 4 Interval marže provozní EBITDA</w:t>
        </w:r>
        <w:r w:rsidR="007C1EE6">
          <w:rPr>
            <w:noProof/>
            <w:webHidden/>
          </w:rPr>
          <w:tab/>
        </w:r>
        <w:r>
          <w:rPr>
            <w:noProof/>
            <w:webHidden/>
          </w:rPr>
          <w:fldChar w:fldCharType="begin"/>
        </w:r>
        <w:r w:rsidR="007C1EE6">
          <w:rPr>
            <w:noProof/>
            <w:webHidden/>
          </w:rPr>
          <w:instrText xml:space="preserve"> PAGEREF _Toc31054922 \h </w:instrText>
        </w:r>
        <w:r>
          <w:rPr>
            <w:noProof/>
            <w:webHidden/>
          </w:rPr>
        </w:r>
        <w:r>
          <w:rPr>
            <w:noProof/>
            <w:webHidden/>
          </w:rPr>
          <w:fldChar w:fldCharType="separate"/>
        </w:r>
        <w:r w:rsidR="007C1EE6">
          <w:rPr>
            <w:noProof/>
            <w:webHidden/>
          </w:rPr>
          <w:t>64</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923" w:history="1">
        <w:r w:rsidR="007C1EE6" w:rsidRPr="00D71B03">
          <w:rPr>
            <w:rStyle w:val="Hypertextovodkaz"/>
            <w:noProof/>
          </w:rPr>
          <w:t>Graf 5 Interval marže EBITDA</w:t>
        </w:r>
        <w:r w:rsidR="007C1EE6">
          <w:rPr>
            <w:noProof/>
            <w:webHidden/>
          </w:rPr>
          <w:tab/>
        </w:r>
        <w:r>
          <w:rPr>
            <w:noProof/>
            <w:webHidden/>
          </w:rPr>
          <w:fldChar w:fldCharType="begin"/>
        </w:r>
        <w:r w:rsidR="007C1EE6">
          <w:rPr>
            <w:noProof/>
            <w:webHidden/>
          </w:rPr>
          <w:instrText xml:space="preserve"> PAGEREF _Toc31054923 \h </w:instrText>
        </w:r>
        <w:r>
          <w:rPr>
            <w:noProof/>
            <w:webHidden/>
          </w:rPr>
        </w:r>
        <w:r>
          <w:rPr>
            <w:noProof/>
            <w:webHidden/>
          </w:rPr>
          <w:fldChar w:fldCharType="separate"/>
        </w:r>
        <w:r w:rsidR="007C1EE6">
          <w:rPr>
            <w:noProof/>
            <w:webHidden/>
          </w:rPr>
          <w:t>65</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924" w:history="1">
        <w:r w:rsidR="007C1EE6" w:rsidRPr="00D71B03">
          <w:rPr>
            <w:rStyle w:val="Hypertextovodkaz"/>
            <w:noProof/>
          </w:rPr>
          <w:t>Graf 6 Interval podílu hotovosti na nutné hotovosti</w:t>
        </w:r>
        <w:r w:rsidR="007C1EE6">
          <w:rPr>
            <w:noProof/>
            <w:webHidden/>
          </w:rPr>
          <w:tab/>
        </w:r>
        <w:r>
          <w:rPr>
            <w:noProof/>
            <w:webHidden/>
          </w:rPr>
          <w:fldChar w:fldCharType="begin"/>
        </w:r>
        <w:r w:rsidR="007C1EE6">
          <w:rPr>
            <w:noProof/>
            <w:webHidden/>
          </w:rPr>
          <w:instrText xml:space="preserve"> PAGEREF _Toc31054924 \h </w:instrText>
        </w:r>
        <w:r>
          <w:rPr>
            <w:noProof/>
            <w:webHidden/>
          </w:rPr>
        </w:r>
        <w:r>
          <w:rPr>
            <w:noProof/>
            <w:webHidden/>
          </w:rPr>
          <w:fldChar w:fldCharType="separate"/>
        </w:r>
        <w:r w:rsidR="007C1EE6">
          <w:rPr>
            <w:noProof/>
            <w:webHidden/>
          </w:rPr>
          <w:t>66</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925" w:history="1">
        <w:r w:rsidR="007C1EE6" w:rsidRPr="00D71B03">
          <w:rPr>
            <w:rStyle w:val="Hypertextovodkaz"/>
            <w:noProof/>
          </w:rPr>
          <w:t>Graf 7 Interval podílu primárních NSPK</w:t>
        </w:r>
        <w:r w:rsidR="007C1EE6">
          <w:rPr>
            <w:noProof/>
            <w:webHidden/>
          </w:rPr>
          <w:tab/>
        </w:r>
        <w:r>
          <w:rPr>
            <w:noProof/>
            <w:webHidden/>
          </w:rPr>
          <w:fldChar w:fldCharType="begin"/>
        </w:r>
        <w:r w:rsidR="007C1EE6">
          <w:rPr>
            <w:noProof/>
            <w:webHidden/>
          </w:rPr>
          <w:instrText xml:space="preserve"> PAGEREF _Toc31054925 \h </w:instrText>
        </w:r>
        <w:r>
          <w:rPr>
            <w:noProof/>
            <w:webHidden/>
          </w:rPr>
        </w:r>
        <w:r>
          <w:rPr>
            <w:noProof/>
            <w:webHidden/>
          </w:rPr>
          <w:fldChar w:fldCharType="separate"/>
        </w:r>
        <w:r w:rsidR="007C1EE6">
          <w:rPr>
            <w:noProof/>
            <w:webHidden/>
          </w:rPr>
          <w:t>67</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926" w:history="1">
        <w:r w:rsidR="007C1EE6" w:rsidRPr="00D71B03">
          <w:rPr>
            <w:rStyle w:val="Hypertextovodkaz"/>
            <w:noProof/>
          </w:rPr>
          <w:t>Graf 8 Interval podílu NSPK</w:t>
        </w:r>
        <w:r w:rsidR="007C1EE6">
          <w:rPr>
            <w:noProof/>
            <w:webHidden/>
          </w:rPr>
          <w:tab/>
        </w:r>
        <w:r>
          <w:rPr>
            <w:noProof/>
            <w:webHidden/>
          </w:rPr>
          <w:fldChar w:fldCharType="begin"/>
        </w:r>
        <w:r w:rsidR="007C1EE6">
          <w:rPr>
            <w:noProof/>
            <w:webHidden/>
          </w:rPr>
          <w:instrText xml:space="preserve"> PAGEREF _Toc31054926 \h </w:instrText>
        </w:r>
        <w:r>
          <w:rPr>
            <w:noProof/>
            <w:webHidden/>
          </w:rPr>
        </w:r>
        <w:r>
          <w:rPr>
            <w:noProof/>
            <w:webHidden/>
          </w:rPr>
          <w:fldChar w:fldCharType="separate"/>
        </w:r>
        <w:r w:rsidR="007C1EE6">
          <w:rPr>
            <w:noProof/>
            <w:webHidden/>
          </w:rPr>
          <w:t>68</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927" w:history="1">
        <w:r w:rsidR="007C1EE6" w:rsidRPr="00D71B03">
          <w:rPr>
            <w:rStyle w:val="Hypertextovodkaz"/>
            <w:noProof/>
          </w:rPr>
          <w:t>Graf 9  Interval celkové zadluženosti</w:t>
        </w:r>
        <w:r w:rsidR="007C1EE6">
          <w:rPr>
            <w:noProof/>
            <w:webHidden/>
          </w:rPr>
          <w:tab/>
        </w:r>
        <w:r>
          <w:rPr>
            <w:noProof/>
            <w:webHidden/>
          </w:rPr>
          <w:fldChar w:fldCharType="begin"/>
        </w:r>
        <w:r w:rsidR="007C1EE6">
          <w:rPr>
            <w:noProof/>
            <w:webHidden/>
          </w:rPr>
          <w:instrText xml:space="preserve"> PAGEREF _Toc31054927 \h </w:instrText>
        </w:r>
        <w:r>
          <w:rPr>
            <w:noProof/>
            <w:webHidden/>
          </w:rPr>
        </w:r>
        <w:r>
          <w:rPr>
            <w:noProof/>
            <w:webHidden/>
          </w:rPr>
          <w:fldChar w:fldCharType="separate"/>
        </w:r>
        <w:r w:rsidR="007C1EE6">
          <w:rPr>
            <w:noProof/>
            <w:webHidden/>
          </w:rPr>
          <w:t>69</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928" w:history="1">
        <w:r w:rsidR="007C1EE6" w:rsidRPr="00D71B03">
          <w:rPr>
            <w:rStyle w:val="Hypertextovodkaz"/>
            <w:noProof/>
          </w:rPr>
          <w:t>Graf 10  Interval stupně krytí DIM</w:t>
        </w:r>
        <w:r w:rsidR="007C1EE6">
          <w:rPr>
            <w:noProof/>
            <w:webHidden/>
          </w:rPr>
          <w:tab/>
        </w:r>
        <w:r>
          <w:rPr>
            <w:noProof/>
            <w:webHidden/>
          </w:rPr>
          <w:fldChar w:fldCharType="begin"/>
        </w:r>
        <w:r w:rsidR="007C1EE6">
          <w:rPr>
            <w:noProof/>
            <w:webHidden/>
          </w:rPr>
          <w:instrText xml:space="preserve"> PAGEREF _Toc31054928 \h </w:instrText>
        </w:r>
        <w:r>
          <w:rPr>
            <w:noProof/>
            <w:webHidden/>
          </w:rPr>
        </w:r>
        <w:r>
          <w:rPr>
            <w:noProof/>
            <w:webHidden/>
          </w:rPr>
          <w:fldChar w:fldCharType="separate"/>
        </w:r>
        <w:r w:rsidR="007C1EE6">
          <w:rPr>
            <w:noProof/>
            <w:webHidden/>
          </w:rPr>
          <w:t>70</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929" w:history="1">
        <w:r w:rsidR="007C1EE6" w:rsidRPr="00D71B03">
          <w:rPr>
            <w:rStyle w:val="Hypertextovodkaz"/>
            <w:noProof/>
          </w:rPr>
          <w:t>Graf 11  Interval stupně krytí DIM</w:t>
        </w:r>
        <w:r w:rsidR="007C1EE6">
          <w:rPr>
            <w:noProof/>
            <w:webHidden/>
          </w:rPr>
          <w:tab/>
        </w:r>
        <w:r>
          <w:rPr>
            <w:noProof/>
            <w:webHidden/>
          </w:rPr>
          <w:fldChar w:fldCharType="begin"/>
        </w:r>
        <w:r w:rsidR="007C1EE6">
          <w:rPr>
            <w:noProof/>
            <w:webHidden/>
          </w:rPr>
          <w:instrText xml:space="preserve"> PAGEREF _Toc31054929 \h </w:instrText>
        </w:r>
        <w:r>
          <w:rPr>
            <w:noProof/>
            <w:webHidden/>
          </w:rPr>
        </w:r>
        <w:r>
          <w:rPr>
            <w:noProof/>
            <w:webHidden/>
          </w:rPr>
          <w:fldChar w:fldCharType="separate"/>
        </w:r>
        <w:r w:rsidR="007C1EE6">
          <w:rPr>
            <w:noProof/>
            <w:webHidden/>
          </w:rPr>
          <w:t>71</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930" w:history="1">
        <w:r w:rsidR="007C1EE6" w:rsidRPr="00D71B03">
          <w:rPr>
            <w:rStyle w:val="Hypertextovodkaz"/>
            <w:noProof/>
          </w:rPr>
          <w:t>Graf 12  Interval rentability aktiv – primární EBITDA</w:t>
        </w:r>
        <w:r w:rsidR="007C1EE6">
          <w:rPr>
            <w:noProof/>
            <w:webHidden/>
          </w:rPr>
          <w:tab/>
        </w:r>
        <w:r>
          <w:rPr>
            <w:noProof/>
            <w:webHidden/>
          </w:rPr>
          <w:fldChar w:fldCharType="begin"/>
        </w:r>
        <w:r w:rsidR="007C1EE6">
          <w:rPr>
            <w:noProof/>
            <w:webHidden/>
          </w:rPr>
          <w:instrText xml:space="preserve"> PAGEREF _Toc31054930 \h </w:instrText>
        </w:r>
        <w:r>
          <w:rPr>
            <w:noProof/>
            <w:webHidden/>
          </w:rPr>
        </w:r>
        <w:r>
          <w:rPr>
            <w:noProof/>
            <w:webHidden/>
          </w:rPr>
          <w:fldChar w:fldCharType="separate"/>
        </w:r>
        <w:r w:rsidR="007C1EE6">
          <w:rPr>
            <w:noProof/>
            <w:webHidden/>
          </w:rPr>
          <w:t>72</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931" w:history="1">
        <w:r w:rsidR="007C1EE6" w:rsidRPr="00D71B03">
          <w:rPr>
            <w:rStyle w:val="Hypertextovodkaz"/>
            <w:noProof/>
          </w:rPr>
          <w:t>Graf 13 Interval rentability aktiv – EBITDA</w:t>
        </w:r>
        <w:r w:rsidR="007C1EE6">
          <w:rPr>
            <w:noProof/>
            <w:webHidden/>
          </w:rPr>
          <w:tab/>
        </w:r>
        <w:r>
          <w:rPr>
            <w:noProof/>
            <w:webHidden/>
          </w:rPr>
          <w:fldChar w:fldCharType="begin"/>
        </w:r>
        <w:r w:rsidR="007C1EE6">
          <w:rPr>
            <w:noProof/>
            <w:webHidden/>
          </w:rPr>
          <w:instrText xml:space="preserve"> PAGEREF _Toc31054931 \h </w:instrText>
        </w:r>
        <w:r>
          <w:rPr>
            <w:noProof/>
            <w:webHidden/>
          </w:rPr>
        </w:r>
        <w:r>
          <w:rPr>
            <w:noProof/>
            <w:webHidden/>
          </w:rPr>
          <w:fldChar w:fldCharType="separate"/>
        </w:r>
        <w:r w:rsidR="007C1EE6">
          <w:rPr>
            <w:noProof/>
            <w:webHidden/>
          </w:rPr>
          <w:t>73</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932" w:history="1">
        <w:r w:rsidR="007C1EE6" w:rsidRPr="00D71B03">
          <w:rPr>
            <w:rStyle w:val="Hypertextovodkaz"/>
            <w:noProof/>
          </w:rPr>
          <w:t>Graf 14 Interval rentability aktiv – EBIT</w:t>
        </w:r>
        <w:r w:rsidR="007C1EE6">
          <w:rPr>
            <w:noProof/>
            <w:webHidden/>
          </w:rPr>
          <w:tab/>
        </w:r>
        <w:r>
          <w:rPr>
            <w:noProof/>
            <w:webHidden/>
          </w:rPr>
          <w:fldChar w:fldCharType="begin"/>
        </w:r>
        <w:r w:rsidR="007C1EE6">
          <w:rPr>
            <w:noProof/>
            <w:webHidden/>
          </w:rPr>
          <w:instrText xml:space="preserve"> PAGEREF _Toc31054932 \h </w:instrText>
        </w:r>
        <w:r>
          <w:rPr>
            <w:noProof/>
            <w:webHidden/>
          </w:rPr>
        </w:r>
        <w:r>
          <w:rPr>
            <w:noProof/>
            <w:webHidden/>
          </w:rPr>
          <w:fldChar w:fldCharType="separate"/>
        </w:r>
        <w:r w:rsidR="007C1EE6">
          <w:rPr>
            <w:noProof/>
            <w:webHidden/>
          </w:rPr>
          <w:t>73</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933" w:history="1">
        <w:r w:rsidR="007C1EE6" w:rsidRPr="00D71B03">
          <w:rPr>
            <w:rStyle w:val="Hypertextovodkaz"/>
            <w:noProof/>
          </w:rPr>
          <w:t>Graf 15  Interval doby obratu zásob</w:t>
        </w:r>
        <w:r w:rsidR="007C1EE6">
          <w:rPr>
            <w:noProof/>
            <w:webHidden/>
          </w:rPr>
          <w:tab/>
        </w:r>
        <w:r>
          <w:rPr>
            <w:noProof/>
            <w:webHidden/>
          </w:rPr>
          <w:fldChar w:fldCharType="begin"/>
        </w:r>
        <w:r w:rsidR="007C1EE6">
          <w:rPr>
            <w:noProof/>
            <w:webHidden/>
          </w:rPr>
          <w:instrText xml:space="preserve"> PAGEREF _Toc31054933 \h </w:instrText>
        </w:r>
        <w:r>
          <w:rPr>
            <w:noProof/>
            <w:webHidden/>
          </w:rPr>
        </w:r>
        <w:r>
          <w:rPr>
            <w:noProof/>
            <w:webHidden/>
          </w:rPr>
          <w:fldChar w:fldCharType="separate"/>
        </w:r>
        <w:r w:rsidR="007C1EE6">
          <w:rPr>
            <w:noProof/>
            <w:webHidden/>
          </w:rPr>
          <w:t>74</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934" w:history="1">
        <w:r w:rsidR="007C1EE6" w:rsidRPr="00D71B03">
          <w:rPr>
            <w:rStyle w:val="Hypertextovodkaz"/>
            <w:noProof/>
          </w:rPr>
          <w:t>Graf 16  Interval doby obratu pohledávek</w:t>
        </w:r>
        <w:r w:rsidR="007C1EE6">
          <w:rPr>
            <w:noProof/>
            <w:webHidden/>
          </w:rPr>
          <w:tab/>
        </w:r>
        <w:r>
          <w:rPr>
            <w:noProof/>
            <w:webHidden/>
          </w:rPr>
          <w:fldChar w:fldCharType="begin"/>
        </w:r>
        <w:r w:rsidR="007C1EE6">
          <w:rPr>
            <w:noProof/>
            <w:webHidden/>
          </w:rPr>
          <w:instrText xml:space="preserve"> PAGEREF _Toc31054934 \h </w:instrText>
        </w:r>
        <w:r>
          <w:rPr>
            <w:noProof/>
            <w:webHidden/>
          </w:rPr>
        </w:r>
        <w:r>
          <w:rPr>
            <w:noProof/>
            <w:webHidden/>
          </w:rPr>
          <w:fldChar w:fldCharType="separate"/>
        </w:r>
        <w:r w:rsidR="007C1EE6">
          <w:rPr>
            <w:noProof/>
            <w:webHidden/>
          </w:rPr>
          <w:t>75</w:t>
        </w:r>
        <w:r>
          <w:rPr>
            <w:noProof/>
            <w:webHidden/>
          </w:rPr>
          <w:fldChar w:fldCharType="end"/>
        </w:r>
      </w:hyperlink>
    </w:p>
    <w:p w:rsidR="007C1EE6" w:rsidRDefault="00163A91">
      <w:pPr>
        <w:pStyle w:val="Seznamobrzk"/>
        <w:tabs>
          <w:tab w:val="right" w:leader="dot" w:pos="9062"/>
        </w:tabs>
        <w:rPr>
          <w:rFonts w:asciiTheme="minorHAnsi" w:eastAsiaTheme="minorEastAsia" w:hAnsiTheme="minorHAnsi"/>
          <w:noProof/>
          <w:sz w:val="22"/>
          <w:lang w:eastAsia="cs-CZ"/>
        </w:rPr>
      </w:pPr>
      <w:hyperlink w:anchor="_Toc31054935" w:history="1">
        <w:r w:rsidR="007C1EE6" w:rsidRPr="00D71B03">
          <w:rPr>
            <w:rStyle w:val="Hypertextovodkaz"/>
            <w:noProof/>
          </w:rPr>
          <w:t>Graf 17  Interval doby obratu závazků</w:t>
        </w:r>
        <w:r w:rsidR="007C1EE6">
          <w:rPr>
            <w:noProof/>
            <w:webHidden/>
          </w:rPr>
          <w:tab/>
        </w:r>
        <w:r>
          <w:rPr>
            <w:noProof/>
            <w:webHidden/>
          </w:rPr>
          <w:fldChar w:fldCharType="begin"/>
        </w:r>
        <w:r w:rsidR="007C1EE6">
          <w:rPr>
            <w:noProof/>
            <w:webHidden/>
          </w:rPr>
          <w:instrText xml:space="preserve"> PAGEREF _Toc31054935 \h </w:instrText>
        </w:r>
        <w:r>
          <w:rPr>
            <w:noProof/>
            <w:webHidden/>
          </w:rPr>
        </w:r>
        <w:r>
          <w:rPr>
            <w:noProof/>
            <w:webHidden/>
          </w:rPr>
          <w:fldChar w:fldCharType="separate"/>
        </w:r>
        <w:r w:rsidR="007C1EE6">
          <w:rPr>
            <w:noProof/>
            <w:webHidden/>
          </w:rPr>
          <w:t>76</w:t>
        </w:r>
        <w:r>
          <w:rPr>
            <w:noProof/>
            <w:webHidden/>
          </w:rPr>
          <w:fldChar w:fldCharType="end"/>
        </w:r>
      </w:hyperlink>
    </w:p>
    <w:p w:rsidR="007772C5" w:rsidRDefault="00163A91" w:rsidP="006E3011">
      <w:pPr>
        <w:rPr>
          <w:b/>
          <w:szCs w:val="24"/>
          <w:u w:val="single"/>
        </w:rPr>
      </w:pPr>
      <w:r>
        <w:rPr>
          <w:b/>
          <w:szCs w:val="24"/>
          <w:u w:val="single"/>
        </w:rPr>
        <w:fldChar w:fldCharType="end"/>
      </w:r>
    </w:p>
    <w:p w:rsidR="0037729D" w:rsidRDefault="0037729D">
      <w:pPr>
        <w:jc w:val="left"/>
        <w:rPr>
          <w:rFonts w:eastAsiaTheme="minorEastAsia" w:cs="Courier New"/>
          <w:b/>
          <w:bCs/>
          <w:color w:val="000000"/>
          <w:sz w:val="32"/>
          <w:szCs w:val="32"/>
          <w:lang w:eastAsia="cs-CZ"/>
        </w:rPr>
      </w:pPr>
      <w:bookmarkStart w:id="0" w:name="_Toc30510407"/>
      <w:r>
        <w:br w:type="page"/>
      </w:r>
    </w:p>
    <w:p w:rsidR="00C40223" w:rsidRDefault="00C40223" w:rsidP="00C40223">
      <w:pPr>
        <w:pStyle w:val="Nadpis1"/>
      </w:pPr>
      <w:bookmarkStart w:id="1" w:name="_Toc31054441"/>
      <w:r>
        <w:lastRenderedPageBreak/>
        <w:t>PŘEHLED NEJPOUŽÍVANĚJŠÍCH ZKRATEK</w:t>
      </w:r>
      <w:bookmarkEnd w:id="0"/>
      <w:bookmarkEnd w:id="1"/>
    </w:p>
    <w:p w:rsidR="00CD5E97" w:rsidRDefault="00CD5E97" w:rsidP="00C40223">
      <w:pPr>
        <w:spacing w:before="120" w:after="120" w:line="240" w:lineRule="auto"/>
        <w:rPr>
          <w:b/>
        </w:rPr>
      </w:pPr>
      <w:r>
        <w:rPr>
          <w:b/>
        </w:rPr>
        <w:t>CZ</w:t>
      </w:r>
      <w:r>
        <w:rPr>
          <w:b/>
        </w:rPr>
        <w:tab/>
      </w:r>
      <w:r>
        <w:rPr>
          <w:b/>
        </w:rPr>
        <w:tab/>
      </w:r>
      <w:r>
        <w:rPr>
          <w:b/>
        </w:rPr>
        <w:tab/>
      </w:r>
      <w:r w:rsidRPr="00CD5E97">
        <w:t>Cizí zdroje</w:t>
      </w:r>
    </w:p>
    <w:p w:rsidR="00C40223" w:rsidRPr="00CB59F6" w:rsidRDefault="00C40223" w:rsidP="00C40223">
      <w:pPr>
        <w:spacing w:before="120" w:after="120" w:line="240" w:lineRule="auto"/>
      </w:pPr>
      <w:r w:rsidRPr="00CB59F6">
        <w:rPr>
          <w:b/>
        </w:rPr>
        <w:t>ČR</w:t>
      </w:r>
      <w:r w:rsidRPr="00CB59F6">
        <w:tab/>
      </w:r>
      <w:r w:rsidRPr="00CB59F6">
        <w:tab/>
      </w:r>
      <w:r w:rsidRPr="00CB59F6">
        <w:tab/>
        <w:t>Česká republika</w:t>
      </w:r>
    </w:p>
    <w:p w:rsidR="00C40223" w:rsidRPr="00CB59F6" w:rsidRDefault="00C40223" w:rsidP="00C40223">
      <w:pPr>
        <w:spacing w:before="120" w:after="120" w:line="240" w:lineRule="auto"/>
      </w:pPr>
      <w:r w:rsidRPr="00CB59F6">
        <w:rPr>
          <w:b/>
        </w:rPr>
        <w:t>DPH</w:t>
      </w:r>
      <w:r w:rsidRPr="00CB59F6">
        <w:tab/>
      </w:r>
      <w:r w:rsidRPr="00CB59F6">
        <w:tab/>
      </w:r>
      <w:r w:rsidRPr="00CB59F6">
        <w:tab/>
        <w:t>Daň z přidané hodnoty</w:t>
      </w:r>
    </w:p>
    <w:p w:rsidR="00C40223" w:rsidRDefault="00C40223" w:rsidP="00C40223">
      <w:pPr>
        <w:spacing w:before="120" w:after="120" w:line="240" w:lineRule="auto"/>
        <w:rPr>
          <w:b/>
        </w:rPr>
      </w:pPr>
      <w:r w:rsidRPr="00CB59F6">
        <w:rPr>
          <w:b/>
        </w:rPr>
        <w:t>EBIT</w:t>
      </w:r>
      <w:r w:rsidRPr="00CB59F6">
        <w:tab/>
      </w:r>
      <w:r w:rsidRPr="00CB59F6">
        <w:tab/>
      </w:r>
      <w:r w:rsidRPr="00CB59F6">
        <w:tab/>
        <w:t>Earnings before interest and taxes</w:t>
      </w:r>
      <w:r>
        <w:t>, zisk před zdaněním a úroky</w:t>
      </w:r>
    </w:p>
    <w:p w:rsidR="00C40223" w:rsidRPr="00E85CB8" w:rsidRDefault="00C40223" w:rsidP="00C40223">
      <w:pPr>
        <w:spacing w:before="120" w:after="120" w:line="240" w:lineRule="auto"/>
      </w:pPr>
      <w:r w:rsidRPr="00CB59F6">
        <w:rPr>
          <w:b/>
        </w:rPr>
        <w:t>EBITDA</w:t>
      </w:r>
      <w:r w:rsidRPr="00CB59F6">
        <w:tab/>
      </w:r>
      <w:r w:rsidRPr="00CB59F6">
        <w:tab/>
        <w:t>Earnings before Interest, Taxes, Depreciation and Amortization</w:t>
      </w:r>
      <w:r>
        <w:t>, zisk před úhradou daní, úroků a odpisů</w:t>
      </w:r>
    </w:p>
    <w:p w:rsidR="00C40223" w:rsidRDefault="00C40223" w:rsidP="00C40223">
      <w:pPr>
        <w:spacing w:before="120" w:after="120" w:line="240" w:lineRule="auto"/>
      </w:pPr>
      <w:r>
        <w:rPr>
          <w:b/>
        </w:rPr>
        <w:t>EK</w:t>
      </w:r>
      <w:r>
        <w:rPr>
          <w:b/>
        </w:rPr>
        <w:tab/>
      </w:r>
      <w:r>
        <w:rPr>
          <w:b/>
        </w:rPr>
        <w:tab/>
      </w:r>
      <w:r>
        <w:rPr>
          <w:b/>
        </w:rPr>
        <w:tab/>
      </w:r>
      <w:r>
        <w:t>Evropská komise</w:t>
      </w:r>
    </w:p>
    <w:p w:rsidR="00C40223" w:rsidRPr="00DD302A" w:rsidRDefault="00C40223" w:rsidP="00C40223">
      <w:pPr>
        <w:spacing w:before="120" w:after="120" w:line="240" w:lineRule="auto"/>
      </w:pPr>
      <w:r>
        <w:rPr>
          <w:b/>
        </w:rPr>
        <w:t>EP</w:t>
      </w:r>
      <w:r>
        <w:rPr>
          <w:b/>
        </w:rPr>
        <w:tab/>
      </w:r>
      <w:r>
        <w:rPr>
          <w:b/>
        </w:rPr>
        <w:tab/>
      </w:r>
      <w:r>
        <w:rPr>
          <w:b/>
        </w:rPr>
        <w:tab/>
      </w:r>
      <w:r>
        <w:t>Evropský parlament</w:t>
      </w:r>
    </w:p>
    <w:p w:rsidR="00C40223" w:rsidRPr="00CB59F6" w:rsidRDefault="00C40223" w:rsidP="00C40223">
      <w:pPr>
        <w:spacing w:before="120" w:after="120" w:line="240" w:lineRule="auto"/>
      </w:pPr>
      <w:r w:rsidRPr="00CB59F6">
        <w:rPr>
          <w:b/>
        </w:rPr>
        <w:t>ES</w:t>
      </w:r>
      <w:r w:rsidRPr="00CB59F6">
        <w:tab/>
      </w:r>
      <w:r w:rsidRPr="00CB59F6">
        <w:tab/>
      </w:r>
      <w:r w:rsidRPr="00CB59F6">
        <w:tab/>
        <w:t>Evropské společenství</w:t>
      </w:r>
    </w:p>
    <w:p w:rsidR="00C40223" w:rsidRDefault="00C40223" w:rsidP="00C40223">
      <w:pPr>
        <w:spacing w:before="120" w:after="120" w:line="240" w:lineRule="auto"/>
        <w:rPr>
          <w:b/>
        </w:rPr>
      </w:pPr>
      <w:r>
        <w:rPr>
          <w:b/>
        </w:rPr>
        <w:t>EU</w:t>
      </w:r>
      <w:r>
        <w:rPr>
          <w:b/>
        </w:rPr>
        <w:tab/>
      </w:r>
      <w:r>
        <w:rPr>
          <w:b/>
        </w:rPr>
        <w:tab/>
      </w:r>
      <w:r>
        <w:rPr>
          <w:b/>
        </w:rPr>
        <w:tab/>
      </w:r>
      <w:r w:rsidRPr="008C3963">
        <w:t>E</w:t>
      </w:r>
      <w:r>
        <w:t>vropská unie</w:t>
      </w:r>
    </w:p>
    <w:p w:rsidR="00C40223" w:rsidRPr="00361524" w:rsidRDefault="00C40223" w:rsidP="00C40223">
      <w:pPr>
        <w:spacing w:before="120" w:after="120" w:line="240" w:lineRule="auto"/>
      </w:pPr>
      <w:r>
        <w:rPr>
          <w:b/>
        </w:rPr>
        <w:t>HDP</w:t>
      </w:r>
      <w:r>
        <w:tab/>
      </w:r>
      <w:r>
        <w:tab/>
      </w:r>
      <w:r>
        <w:tab/>
        <w:t>Hrubý domácí produkt</w:t>
      </w:r>
    </w:p>
    <w:p w:rsidR="00C40223" w:rsidRDefault="00C40223" w:rsidP="00C40223">
      <w:pPr>
        <w:spacing w:before="120" w:after="120" w:line="240" w:lineRule="auto"/>
        <w:rPr>
          <w:b/>
        </w:rPr>
      </w:pPr>
      <w:r>
        <w:rPr>
          <w:b/>
        </w:rPr>
        <w:t>ISIR</w:t>
      </w:r>
      <w:r>
        <w:rPr>
          <w:b/>
        </w:rPr>
        <w:tab/>
      </w:r>
      <w:r>
        <w:rPr>
          <w:b/>
        </w:rPr>
        <w:tab/>
      </w:r>
      <w:r>
        <w:rPr>
          <w:b/>
        </w:rPr>
        <w:tab/>
      </w:r>
      <w:r w:rsidRPr="00EB55B3">
        <w:t>Insolvenční rejstřík</w:t>
      </w:r>
    </w:p>
    <w:p w:rsidR="00C40223" w:rsidRPr="00CB59F6" w:rsidRDefault="00C40223" w:rsidP="00C40223">
      <w:pPr>
        <w:spacing w:before="120" w:after="120" w:line="240" w:lineRule="auto"/>
      </w:pPr>
      <w:r w:rsidRPr="00CB59F6">
        <w:rPr>
          <w:b/>
        </w:rPr>
        <w:t>IZ</w:t>
      </w:r>
      <w:r w:rsidRPr="00CB59F6">
        <w:tab/>
      </w:r>
      <w:r w:rsidRPr="00CB59F6">
        <w:tab/>
      </w:r>
      <w:r w:rsidRPr="00CB59F6">
        <w:tab/>
        <w:t>Insolvenční zákon</w:t>
      </w:r>
    </w:p>
    <w:p w:rsidR="00C40223" w:rsidRDefault="00C40223" w:rsidP="00C40223">
      <w:pPr>
        <w:spacing w:before="120" w:after="120" w:line="240" w:lineRule="auto"/>
        <w:rPr>
          <w:shd w:val="clear" w:color="auto" w:fill="FFFFFF"/>
        </w:rPr>
      </w:pPr>
      <w:r w:rsidRPr="00CB59F6">
        <w:rPr>
          <w:b/>
        </w:rPr>
        <w:t>M&amp;A</w:t>
      </w:r>
      <w:r w:rsidRPr="00CB59F6">
        <w:tab/>
      </w:r>
      <w:r w:rsidRPr="00CB59F6">
        <w:tab/>
      </w:r>
      <w:r w:rsidRPr="00CB59F6">
        <w:tab/>
      </w:r>
      <w:r w:rsidRPr="00CB59F6">
        <w:rPr>
          <w:shd w:val="clear" w:color="auto" w:fill="FFFFFF"/>
        </w:rPr>
        <w:t>Mergers and acquisitions</w:t>
      </w:r>
      <w:r>
        <w:rPr>
          <w:shd w:val="clear" w:color="auto" w:fill="FFFFFF"/>
        </w:rPr>
        <w:t>, fúze a akvizice</w:t>
      </w:r>
    </w:p>
    <w:p w:rsidR="00CD5E97" w:rsidRDefault="00CD5E97" w:rsidP="00C40223">
      <w:pPr>
        <w:spacing w:before="120" w:after="120" w:line="240" w:lineRule="auto"/>
        <w:rPr>
          <w:shd w:val="clear" w:color="auto" w:fill="FFFFFF"/>
        </w:rPr>
      </w:pPr>
      <w:r w:rsidRPr="00CD5E97">
        <w:rPr>
          <w:b/>
          <w:shd w:val="clear" w:color="auto" w:fill="FFFFFF"/>
        </w:rPr>
        <w:t>NS PK</w:t>
      </w:r>
      <w:r>
        <w:rPr>
          <w:shd w:val="clear" w:color="auto" w:fill="FFFFFF"/>
        </w:rPr>
        <w:tab/>
      </w:r>
      <w:r>
        <w:rPr>
          <w:shd w:val="clear" w:color="auto" w:fill="FFFFFF"/>
        </w:rPr>
        <w:tab/>
      </w:r>
      <w:r>
        <w:rPr>
          <w:shd w:val="clear" w:color="auto" w:fill="FFFFFF"/>
        </w:rPr>
        <w:tab/>
        <w:t>Nepeněžní složky pracovního kapitálu</w:t>
      </w:r>
    </w:p>
    <w:p w:rsidR="00C40223" w:rsidRDefault="00C40223" w:rsidP="00C40223">
      <w:pPr>
        <w:spacing w:before="120" w:after="120" w:line="240" w:lineRule="auto"/>
      </w:pPr>
      <w:r w:rsidRPr="00CB59F6">
        <w:rPr>
          <w:b/>
        </w:rPr>
        <w:t>Sb.</w:t>
      </w:r>
      <w:r w:rsidRPr="00CB59F6">
        <w:tab/>
      </w:r>
      <w:r w:rsidRPr="00CB59F6">
        <w:tab/>
      </w:r>
      <w:r w:rsidRPr="00CB59F6">
        <w:tab/>
        <w:t>Sbírka zákonů</w:t>
      </w:r>
    </w:p>
    <w:p w:rsidR="00C40223" w:rsidRPr="00D91E01" w:rsidRDefault="00C40223" w:rsidP="00C40223">
      <w:pPr>
        <w:spacing w:before="120" w:after="120" w:line="240" w:lineRule="auto"/>
      </w:pPr>
      <w:r w:rsidRPr="00D91E01">
        <w:rPr>
          <w:b/>
        </w:rPr>
        <w:t>SME</w:t>
      </w:r>
      <w:r>
        <w:rPr>
          <w:b/>
        </w:rPr>
        <w:tab/>
      </w:r>
      <w:r>
        <w:rPr>
          <w:b/>
        </w:rPr>
        <w:tab/>
      </w:r>
      <w:r>
        <w:rPr>
          <w:b/>
        </w:rPr>
        <w:tab/>
      </w:r>
      <w:r>
        <w:t xml:space="preserve">Small and Medium </w:t>
      </w:r>
      <w:r w:rsidRPr="007155E2">
        <w:rPr>
          <w:bCs/>
          <w:color w:val="222222"/>
          <w:shd w:val="clear" w:color="auto" w:fill="FFFFFF"/>
        </w:rPr>
        <w:t>Enterprises</w:t>
      </w:r>
      <w:r>
        <w:rPr>
          <w:bCs/>
          <w:color w:val="222222"/>
          <w:shd w:val="clear" w:color="auto" w:fill="FFFFFF"/>
        </w:rPr>
        <w:t>, m</w:t>
      </w:r>
      <w:r>
        <w:t>alé a střední podniky</w:t>
      </w:r>
    </w:p>
    <w:p w:rsidR="00C40223" w:rsidRPr="00CB59F6" w:rsidRDefault="00C40223" w:rsidP="00C40223">
      <w:pPr>
        <w:spacing w:before="120" w:after="120" w:line="240" w:lineRule="auto"/>
      </w:pPr>
      <w:r w:rsidRPr="00CB59F6">
        <w:rPr>
          <w:b/>
        </w:rPr>
        <w:t>s.r.o.</w:t>
      </w:r>
      <w:r w:rsidRPr="00CB59F6">
        <w:tab/>
      </w:r>
      <w:r w:rsidRPr="00CB59F6">
        <w:tab/>
      </w:r>
      <w:r w:rsidRPr="00CB59F6">
        <w:tab/>
        <w:t xml:space="preserve">Společnost s ručením omezeným </w:t>
      </w:r>
    </w:p>
    <w:p w:rsidR="00C40223" w:rsidRPr="00CB59F6" w:rsidRDefault="00C40223" w:rsidP="00C40223">
      <w:pPr>
        <w:spacing w:before="120" w:after="120" w:line="240" w:lineRule="auto"/>
      </w:pPr>
      <w:r w:rsidRPr="00CB59F6">
        <w:rPr>
          <w:b/>
        </w:rPr>
        <w:t>TAČR</w:t>
      </w:r>
      <w:r w:rsidRPr="00CB59F6">
        <w:rPr>
          <w:b/>
        </w:rPr>
        <w:tab/>
      </w:r>
      <w:r w:rsidRPr="00CB59F6">
        <w:tab/>
      </w:r>
      <w:r w:rsidRPr="00CB59F6">
        <w:tab/>
        <w:t>Technologická agentura České republiky</w:t>
      </w:r>
    </w:p>
    <w:p w:rsidR="00C40223" w:rsidRPr="00E85CB8" w:rsidRDefault="00C40223" w:rsidP="00C40223">
      <w:pPr>
        <w:spacing w:before="120" w:after="120" w:line="240" w:lineRule="auto"/>
      </w:pPr>
      <w:r w:rsidRPr="00E85CB8">
        <w:rPr>
          <w:b/>
        </w:rPr>
        <w:t>VŠE</w:t>
      </w:r>
      <w:r>
        <w:rPr>
          <w:b/>
        </w:rPr>
        <w:tab/>
      </w:r>
      <w:r>
        <w:rPr>
          <w:b/>
        </w:rPr>
        <w:tab/>
      </w:r>
      <w:r>
        <w:rPr>
          <w:b/>
        </w:rPr>
        <w:tab/>
      </w:r>
      <w:r>
        <w:t>Vysoká škola ekonomická v Praze</w:t>
      </w:r>
    </w:p>
    <w:p w:rsidR="00C40223" w:rsidRPr="00CB59F6" w:rsidRDefault="00C40223" w:rsidP="00C40223">
      <w:pPr>
        <w:spacing w:before="120" w:after="120" w:line="240" w:lineRule="auto"/>
      </w:pPr>
      <w:r w:rsidRPr="00CB59F6">
        <w:rPr>
          <w:b/>
        </w:rPr>
        <w:t>ZDP</w:t>
      </w:r>
      <w:r w:rsidRPr="00CB59F6">
        <w:rPr>
          <w:b/>
        </w:rPr>
        <w:tab/>
      </w:r>
      <w:r w:rsidRPr="00CB59F6">
        <w:tab/>
      </w:r>
      <w:r w:rsidRPr="00CB59F6">
        <w:tab/>
        <w:t>Zákon o daních z příjmů</w:t>
      </w:r>
    </w:p>
    <w:p w:rsidR="00C40223" w:rsidRPr="00CB59F6" w:rsidRDefault="00C40223" w:rsidP="00C40223">
      <w:pPr>
        <w:spacing w:before="120" w:after="120" w:line="240" w:lineRule="auto"/>
      </w:pPr>
      <w:r w:rsidRPr="00CB59F6">
        <w:rPr>
          <w:b/>
        </w:rPr>
        <w:t>ZDPH</w:t>
      </w:r>
      <w:r w:rsidRPr="00CB59F6">
        <w:rPr>
          <w:b/>
        </w:rPr>
        <w:tab/>
      </w:r>
      <w:r w:rsidRPr="00CB59F6">
        <w:tab/>
      </w:r>
      <w:r w:rsidRPr="00CB59F6">
        <w:tab/>
        <w:t>Zákon o dani z přidané hodnoty</w:t>
      </w:r>
    </w:p>
    <w:p w:rsidR="007772C5" w:rsidRDefault="007772C5" w:rsidP="00C40223">
      <w:pPr>
        <w:spacing w:before="120" w:after="120" w:line="240" w:lineRule="auto"/>
        <w:rPr>
          <w:b/>
          <w:szCs w:val="24"/>
          <w:u w:val="single"/>
        </w:rPr>
      </w:pPr>
    </w:p>
    <w:p w:rsidR="007772C5" w:rsidRDefault="007772C5" w:rsidP="006E3011">
      <w:pPr>
        <w:rPr>
          <w:b/>
          <w:szCs w:val="24"/>
          <w:u w:val="single"/>
        </w:rPr>
      </w:pPr>
    </w:p>
    <w:p w:rsidR="007772C5" w:rsidRDefault="007772C5" w:rsidP="006E3011">
      <w:pPr>
        <w:rPr>
          <w:b/>
          <w:szCs w:val="24"/>
          <w:u w:val="single"/>
        </w:rPr>
      </w:pPr>
    </w:p>
    <w:p w:rsidR="007772C5" w:rsidRDefault="007772C5">
      <w:pPr>
        <w:jc w:val="left"/>
        <w:rPr>
          <w:b/>
          <w:szCs w:val="24"/>
          <w:u w:val="single"/>
        </w:rPr>
      </w:pPr>
      <w:r>
        <w:rPr>
          <w:b/>
          <w:szCs w:val="24"/>
          <w:u w:val="single"/>
        </w:rPr>
        <w:br w:type="page"/>
      </w:r>
    </w:p>
    <w:p w:rsidR="007772C5" w:rsidRDefault="007772C5" w:rsidP="006E3011">
      <w:pPr>
        <w:rPr>
          <w:b/>
          <w:szCs w:val="24"/>
          <w:u w:val="single"/>
        </w:rPr>
      </w:pPr>
    </w:p>
    <w:p w:rsidR="00D234F8" w:rsidRDefault="00865D58" w:rsidP="0037729D">
      <w:pPr>
        <w:pStyle w:val="Nadpis1"/>
        <w:numPr>
          <w:ilvl w:val="0"/>
          <w:numId w:val="22"/>
        </w:numPr>
      </w:pPr>
      <w:bookmarkStart w:id="2" w:name="_Toc31054442"/>
      <w:r w:rsidRPr="00F25673">
        <w:t>POPIS</w:t>
      </w:r>
      <w:r>
        <w:t xml:space="preserve"> ŘEŠENÍ PROJEKTU</w:t>
      </w:r>
      <w:bookmarkEnd w:id="2"/>
      <w:r w:rsidR="000C1EA6">
        <w:t xml:space="preserve">  </w:t>
      </w:r>
    </w:p>
    <w:p w:rsidR="000C1EA6" w:rsidRPr="000C1EA6" w:rsidRDefault="000C1EA6" w:rsidP="000C1EA6">
      <w:pPr>
        <w:rPr>
          <w:lang w:eastAsia="cs-CZ"/>
        </w:rPr>
      </w:pPr>
    </w:p>
    <w:p w:rsidR="000C1EA6" w:rsidRPr="000C1EA6" w:rsidRDefault="00D234F8" w:rsidP="000C1EA6">
      <w:pPr>
        <w:spacing w:before="120" w:after="240" w:line="240" w:lineRule="auto"/>
        <w:rPr>
          <w:rFonts w:cs="Times New Roman"/>
          <w:szCs w:val="24"/>
        </w:rPr>
      </w:pPr>
      <w:r w:rsidRPr="00865D58">
        <w:rPr>
          <w:rFonts w:cs="Times New Roman"/>
          <w:szCs w:val="24"/>
        </w:rPr>
        <w:t>Cíle projektu se dařilo v roce 2019 postupně naplňovat jak z věcného, tak časového hlediska (dle závazného harmonogramu). Za účelem posunu k cílovému stavu byly realizovány plánované statistické analýzy potřebné k zodpovězení otázky, proč sanační způsoby řešení firem ve finančních obtížích netvoří ani 1 % firem v platební neschopnosti, kte</w:t>
      </w:r>
      <w:r w:rsidR="00865D58" w:rsidRPr="00865D58">
        <w:rPr>
          <w:rFonts w:cs="Times New Roman"/>
          <w:szCs w:val="24"/>
        </w:rPr>
        <w:t>ré skončí v úpadku</w:t>
      </w:r>
      <w:r w:rsidR="00865D58">
        <w:rPr>
          <w:rFonts w:cs="Times New Roman"/>
          <w:color w:val="FF0000"/>
          <w:szCs w:val="24"/>
        </w:rPr>
        <w:t>.</w:t>
      </w:r>
    </w:p>
    <w:p w:rsidR="00C86AF4" w:rsidRPr="004C37F5" w:rsidRDefault="00943640" w:rsidP="004C37F5">
      <w:pPr>
        <w:spacing w:before="120" w:after="240" w:line="240" w:lineRule="auto"/>
        <w:rPr>
          <w:rFonts w:cs="Times New Roman"/>
          <w:szCs w:val="24"/>
        </w:rPr>
      </w:pPr>
      <w:r w:rsidRPr="004C37F5">
        <w:rPr>
          <w:rFonts w:cs="Times New Roman"/>
          <w:szCs w:val="24"/>
        </w:rPr>
        <w:t>První rok řešení projektu byl zaměřen na analýzu finančních charakteristik úpadkových podniků s cílem identifikovat finanční stav, ve kterém byl jejich úpadek zjištěn, resp. jejich stav jeden, dva a tři roky před zjištěním úpadku. Cílem je identifikovat, v jakém stavu podniky dospěly do posledního stádia podnikové krize a kdy bylo možné identifikovat její symptomy s cílem odhadnout, v jakém okamžiku mohlo být na místě uvažovat o implementaci ozdravných opatření s cílem úpadkem odvrátit, a to případně i pomocí preventivní restrukturalizace, na jejíž implementaci je tento projekt zaměřen. Součástí této analýzy byla i analýza makroekonomických aspektů podnikové krize s cílem odhadnout národohospodářský přínos preventivní restrukturalizace. Výsledky byly průběžně prezentovány, a to jak na mezinárodní vědecké konferenci pořádané na Vysoké škole ekonomické v</w:t>
      </w:r>
      <w:r w:rsidR="00D234F8" w:rsidRPr="004C37F5">
        <w:rPr>
          <w:rFonts w:cs="Times New Roman"/>
          <w:szCs w:val="24"/>
        </w:rPr>
        <w:t> </w:t>
      </w:r>
      <w:r w:rsidRPr="004C37F5">
        <w:rPr>
          <w:rFonts w:cs="Times New Roman"/>
          <w:szCs w:val="24"/>
        </w:rPr>
        <w:t>Praze</w:t>
      </w:r>
      <w:r w:rsidR="00D234F8" w:rsidRPr="004C37F5">
        <w:rPr>
          <w:rFonts w:cs="Times New Roman"/>
          <w:szCs w:val="24"/>
        </w:rPr>
        <w:t xml:space="preserve"> (květen 2019)</w:t>
      </w:r>
      <w:r w:rsidRPr="004C37F5">
        <w:rPr>
          <w:rFonts w:cs="Times New Roman"/>
          <w:szCs w:val="24"/>
        </w:rPr>
        <w:t xml:space="preserve">, tak na odborných kolokviích, pořádaných rovněž na Vysoké škole ekonomické v Praze. </w:t>
      </w:r>
    </w:p>
    <w:p w:rsidR="00C86AF4" w:rsidRPr="004C37F5" w:rsidRDefault="00451E32" w:rsidP="004C37F5">
      <w:pPr>
        <w:spacing w:before="120" w:after="240" w:line="240" w:lineRule="auto"/>
        <w:rPr>
          <w:rFonts w:cs="Times New Roman"/>
          <w:szCs w:val="24"/>
        </w:rPr>
      </w:pPr>
      <w:r w:rsidRPr="004C37F5">
        <w:rPr>
          <w:rFonts w:cs="Times New Roman"/>
          <w:szCs w:val="24"/>
        </w:rPr>
        <w:t>Podstatnými činnost</w:t>
      </w:r>
      <w:r w:rsidR="00C86AF4" w:rsidRPr="004C37F5">
        <w:rPr>
          <w:rFonts w:cs="Times New Roman"/>
          <w:szCs w:val="24"/>
        </w:rPr>
        <w:t>i v rámci prvního roku byly následující:</w:t>
      </w:r>
    </w:p>
    <w:p w:rsidR="00C86AF4" w:rsidRDefault="00C86AF4" w:rsidP="005A5A62">
      <w:pPr>
        <w:pStyle w:val="Odstavecseseznamem"/>
        <w:numPr>
          <w:ilvl w:val="0"/>
          <w:numId w:val="14"/>
        </w:numPr>
        <w:spacing w:before="120" w:after="240" w:line="240" w:lineRule="auto"/>
        <w:rPr>
          <w:rFonts w:cs="Times New Roman"/>
          <w:szCs w:val="24"/>
        </w:rPr>
      </w:pPr>
      <w:r w:rsidRPr="004C37F5">
        <w:rPr>
          <w:rFonts w:cs="Times New Roman"/>
          <w:szCs w:val="24"/>
        </w:rPr>
        <w:t xml:space="preserve">sběr dat a </w:t>
      </w:r>
      <w:r w:rsidR="00451E32" w:rsidRPr="004C37F5">
        <w:rPr>
          <w:rFonts w:cs="Times New Roman"/>
          <w:szCs w:val="24"/>
        </w:rPr>
        <w:t xml:space="preserve">vytvoření datového </w:t>
      </w:r>
      <w:r w:rsidRPr="004C37F5">
        <w:rPr>
          <w:rFonts w:cs="Times New Roman"/>
          <w:szCs w:val="24"/>
        </w:rPr>
        <w:t>souboru</w:t>
      </w:r>
      <w:r w:rsidR="00451E32" w:rsidRPr="004C37F5">
        <w:rPr>
          <w:rFonts w:cs="Times New Roman"/>
          <w:szCs w:val="24"/>
        </w:rPr>
        <w:t xml:space="preserve"> </w:t>
      </w:r>
      <w:r w:rsidR="00E222DF">
        <w:rPr>
          <w:rFonts w:cs="Times New Roman"/>
          <w:szCs w:val="24"/>
        </w:rPr>
        <w:t>všech případů, kde bylo povoleno moratorium</w:t>
      </w:r>
    </w:p>
    <w:p w:rsidR="00E222DF" w:rsidRDefault="00E222DF" w:rsidP="005A5A62">
      <w:pPr>
        <w:pStyle w:val="Odstavecseseznamem"/>
        <w:numPr>
          <w:ilvl w:val="0"/>
          <w:numId w:val="14"/>
        </w:numPr>
        <w:spacing w:before="120" w:after="240" w:line="240" w:lineRule="auto"/>
        <w:rPr>
          <w:rFonts w:cs="Times New Roman"/>
          <w:szCs w:val="24"/>
        </w:rPr>
      </w:pPr>
      <w:r>
        <w:rPr>
          <w:rFonts w:cs="Times New Roman"/>
          <w:szCs w:val="24"/>
        </w:rPr>
        <w:t>sběr dat a vytvoření datového souboru všech případů, kde byla povelena tzv. předbalené reorganizace (per-pack)</w:t>
      </w:r>
    </w:p>
    <w:p w:rsidR="00E222DF" w:rsidRPr="004C37F5" w:rsidRDefault="00E222DF" w:rsidP="005A5A62">
      <w:pPr>
        <w:pStyle w:val="Odstavecseseznamem"/>
        <w:numPr>
          <w:ilvl w:val="0"/>
          <w:numId w:val="14"/>
        </w:numPr>
        <w:spacing w:before="120" w:after="240" w:line="240" w:lineRule="auto"/>
        <w:rPr>
          <w:rFonts w:cs="Times New Roman"/>
          <w:szCs w:val="24"/>
        </w:rPr>
      </w:pPr>
      <w:r>
        <w:rPr>
          <w:rFonts w:cs="Times New Roman"/>
          <w:szCs w:val="24"/>
        </w:rPr>
        <w:t>sběr dat a vytvoření datového souboru všech případů, kde bylo rozhodnuto o úpadku podnikatelských subjektů</w:t>
      </w:r>
    </w:p>
    <w:p w:rsidR="00C86AF4" w:rsidRPr="004C37F5" w:rsidRDefault="00451E32" w:rsidP="005A5A62">
      <w:pPr>
        <w:pStyle w:val="Odstavecseseznamem"/>
        <w:numPr>
          <w:ilvl w:val="0"/>
          <w:numId w:val="14"/>
        </w:numPr>
        <w:spacing w:before="120" w:after="240" w:line="240" w:lineRule="auto"/>
        <w:rPr>
          <w:rFonts w:cs="Times New Roman"/>
          <w:szCs w:val="24"/>
        </w:rPr>
      </w:pPr>
      <w:r w:rsidRPr="004C37F5">
        <w:rPr>
          <w:rFonts w:cs="Times New Roman"/>
          <w:szCs w:val="24"/>
        </w:rPr>
        <w:t>statistick</w:t>
      </w:r>
      <w:r w:rsidR="00C86AF4" w:rsidRPr="004C37F5">
        <w:rPr>
          <w:rFonts w:cs="Times New Roman"/>
          <w:szCs w:val="24"/>
        </w:rPr>
        <w:t>á</w:t>
      </w:r>
      <w:r w:rsidRPr="004C37F5">
        <w:rPr>
          <w:rFonts w:cs="Times New Roman"/>
          <w:szCs w:val="24"/>
        </w:rPr>
        <w:t xml:space="preserve"> analýza na základě </w:t>
      </w:r>
      <w:r w:rsidR="00E222DF">
        <w:rPr>
          <w:rFonts w:cs="Times New Roman"/>
          <w:szCs w:val="24"/>
        </w:rPr>
        <w:t>vytvořených datových</w:t>
      </w:r>
      <w:r w:rsidR="00C86AF4" w:rsidRPr="004C37F5">
        <w:rPr>
          <w:rFonts w:cs="Times New Roman"/>
          <w:szCs w:val="24"/>
        </w:rPr>
        <w:t xml:space="preserve"> souboru</w:t>
      </w:r>
      <w:r w:rsidRPr="004C37F5">
        <w:rPr>
          <w:rFonts w:cs="Times New Roman"/>
          <w:szCs w:val="24"/>
        </w:rPr>
        <w:t xml:space="preserve">, </w:t>
      </w:r>
    </w:p>
    <w:p w:rsidR="00C86AF4" w:rsidRPr="004C37F5" w:rsidRDefault="00C86AF4" w:rsidP="005A5A62">
      <w:pPr>
        <w:pStyle w:val="Odstavecseseznamem"/>
        <w:numPr>
          <w:ilvl w:val="0"/>
          <w:numId w:val="14"/>
        </w:numPr>
        <w:spacing w:before="120" w:after="240" w:line="240" w:lineRule="auto"/>
        <w:rPr>
          <w:rFonts w:cs="Times New Roman"/>
          <w:szCs w:val="24"/>
        </w:rPr>
      </w:pPr>
      <w:r w:rsidRPr="004C37F5">
        <w:rPr>
          <w:rFonts w:cs="Times New Roman"/>
          <w:szCs w:val="24"/>
        </w:rPr>
        <w:t>analýza makroekonomických aspektů podnikové krize</w:t>
      </w:r>
    </w:p>
    <w:p w:rsidR="00C86AF4" w:rsidRPr="004C37F5" w:rsidRDefault="00451E32" w:rsidP="005A5A62">
      <w:pPr>
        <w:pStyle w:val="Odstavecseseznamem"/>
        <w:numPr>
          <w:ilvl w:val="0"/>
          <w:numId w:val="14"/>
        </w:numPr>
        <w:spacing w:before="120" w:after="240" w:line="240" w:lineRule="auto"/>
        <w:rPr>
          <w:rFonts w:cs="Times New Roman"/>
          <w:szCs w:val="24"/>
        </w:rPr>
      </w:pPr>
      <w:r w:rsidRPr="004C37F5">
        <w:rPr>
          <w:rFonts w:cs="Times New Roman"/>
          <w:szCs w:val="24"/>
        </w:rPr>
        <w:t xml:space="preserve">průběžné vyhodnocování výsledků statistické analýzy a jejích implikací pro implementaci směrnice do národní právní úpravy a </w:t>
      </w:r>
    </w:p>
    <w:p w:rsidR="00943640" w:rsidRPr="004C37F5" w:rsidRDefault="00C86AF4" w:rsidP="005A5A62">
      <w:pPr>
        <w:pStyle w:val="Odstavecseseznamem"/>
        <w:numPr>
          <w:ilvl w:val="0"/>
          <w:numId w:val="14"/>
        </w:numPr>
        <w:spacing w:before="120" w:after="240" w:line="240" w:lineRule="auto"/>
        <w:rPr>
          <w:rFonts w:cs="Times New Roman"/>
          <w:szCs w:val="24"/>
        </w:rPr>
      </w:pPr>
      <w:r w:rsidRPr="004C37F5">
        <w:rPr>
          <w:rFonts w:cs="Times New Roman"/>
          <w:szCs w:val="24"/>
        </w:rPr>
        <w:t xml:space="preserve">příprava </w:t>
      </w:r>
      <w:r w:rsidR="00451E32" w:rsidRPr="004C37F5">
        <w:rPr>
          <w:rFonts w:cs="Times New Roman"/>
          <w:szCs w:val="24"/>
        </w:rPr>
        <w:t>vytvořen</w:t>
      </w:r>
      <w:r w:rsidRPr="004C37F5">
        <w:rPr>
          <w:rFonts w:cs="Times New Roman"/>
          <w:szCs w:val="24"/>
        </w:rPr>
        <w:t>í</w:t>
      </w:r>
      <w:r w:rsidR="00451E32" w:rsidRPr="004C37F5">
        <w:rPr>
          <w:rFonts w:cs="Times New Roman"/>
          <w:szCs w:val="24"/>
        </w:rPr>
        <w:t xml:space="preserve"> systému signálů včasného varování.</w:t>
      </w:r>
    </w:p>
    <w:p w:rsidR="00C86AF4" w:rsidRPr="004C37F5" w:rsidRDefault="00C86AF4" w:rsidP="004C37F5">
      <w:pPr>
        <w:spacing w:before="120" w:after="240" w:line="240" w:lineRule="auto"/>
        <w:rPr>
          <w:rFonts w:cs="Times New Roman"/>
          <w:szCs w:val="24"/>
        </w:rPr>
      </w:pPr>
      <w:r w:rsidRPr="004C37F5">
        <w:rPr>
          <w:rFonts w:cs="Times New Roman"/>
          <w:szCs w:val="24"/>
        </w:rPr>
        <w:t>Datov</w:t>
      </w:r>
      <w:r w:rsidR="00E222DF">
        <w:rPr>
          <w:rFonts w:cs="Times New Roman"/>
          <w:szCs w:val="24"/>
        </w:rPr>
        <w:t>é</w:t>
      </w:r>
      <w:r w:rsidRPr="004C37F5">
        <w:rPr>
          <w:rFonts w:cs="Times New Roman"/>
          <w:szCs w:val="24"/>
        </w:rPr>
        <w:t xml:space="preserve"> soubor</w:t>
      </w:r>
      <w:r w:rsidR="00E222DF">
        <w:rPr>
          <w:rFonts w:cs="Times New Roman"/>
          <w:szCs w:val="24"/>
        </w:rPr>
        <w:t>y</w:t>
      </w:r>
      <w:r w:rsidRPr="004C37F5">
        <w:rPr>
          <w:rFonts w:cs="Times New Roman"/>
          <w:szCs w:val="24"/>
        </w:rPr>
        <w:t xml:space="preserve"> </w:t>
      </w:r>
      <w:proofErr w:type="gramStart"/>
      <w:r w:rsidRPr="004C37F5">
        <w:rPr>
          <w:rFonts w:cs="Times New Roman"/>
          <w:szCs w:val="24"/>
        </w:rPr>
        <w:t>byl</w:t>
      </w:r>
      <w:r w:rsidR="00E222DF">
        <w:rPr>
          <w:rFonts w:cs="Times New Roman"/>
          <w:szCs w:val="24"/>
        </w:rPr>
        <w:t>y</w:t>
      </w:r>
      <w:proofErr w:type="gramEnd"/>
      <w:r w:rsidRPr="004C37F5">
        <w:rPr>
          <w:rFonts w:cs="Times New Roman"/>
          <w:szCs w:val="24"/>
        </w:rPr>
        <w:t xml:space="preserve"> </w:t>
      </w:r>
      <w:proofErr w:type="gramStart"/>
      <w:r w:rsidRPr="004C37F5">
        <w:rPr>
          <w:rFonts w:cs="Times New Roman"/>
          <w:szCs w:val="24"/>
        </w:rPr>
        <w:t>získ</w:t>
      </w:r>
      <w:r w:rsidR="00E222DF">
        <w:rPr>
          <w:rFonts w:cs="Times New Roman"/>
          <w:szCs w:val="24"/>
        </w:rPr>
        <w:t>án</w:t>
      </w:r>
      <w:proofErr w:type="gramEnd"/>
      <w:r w:rsidR="00E222DF">
        <w:rPr>
          <w:rFonts w:cs="Times New Roman"/>
          <w:szCs w:val="24"/>
        </w:rPr>
        <w:t xml:space="preserve"> z databáze Bisnode Magnusweb a z insolvenčního rejsříku.</w:t>
      </w:r>
      <w:r w:rsidRPr="004C37F5">
        <w:rPr>
          <w:rFonts w:cs="Times New Roman"/>
          <w:szCs w:val="24"/>
        </w:rPr>
        <w:t xml:space="preserve"> Při tvorbě datového souboru (vzorku podniků) byl použit stratifikovaný výběr, tedy do vzorku byly zařazeny všechny podniky, u kterých byl zjištěn úpadek od roku 2009 (tedy zjištění úpadku bylo podle nového insolvenčního zákona), a u kterých jsou dostupné údaje (finanční výkazy), a za rok předcházející roku zjištění úpadku. Zařazen byl podnik, u kterého byla v databázi Bisnode Magnusweb charakteristika „v úpadku“. Dále byl do datového soboru zařazen stejný počet bezproblémových podniků na základě shodného kritéria, tedy podniků, u kterých jsou dostupná data za stejný rok. Dále byla ze stejného zdroje získána data (finanční výkazy) za dva a tři roky předcházející roku zjištění úpadku. Bylo přitom použito párování vzorků (matching pairs), kdy jako kritérium při výběru bezproblémových podniků byla použita velikost podniku dle obratu a obor podnikání dle </w:t>
      </w:r>
      <w:proofErr w:type="gramStart"/>
      <w:r w:rsidRPr="004C37F5">
        <w:rPr>
          <w:rFonts w:cs="Times New Roman"/>
          <w:szCs w:val="24"/>
        </w:rPr>
        <w:t>NACE</w:t>
      </w:r>
      <w:proofErr w:type="gramEnd"/>
      <w:r w:rsidRPr="004C37F5">
        <w:rPr>
          <w:rFonts w:cs="Times New Roman"/>
          <w:szCs w:val="24"/>
        </w:rPr>
        <w:t>. Důraz byl přitom kladen na to, aby byl shodný počet podniků, resp. finančních výkazů za 1. rok před zjištěním úpadku.</w:t>
      </w:r>
    </w:p>
    <w:p w:rsidR="00C86AF4" w:rsidRPr="004C37F5" w:rsidRDefault="00C86AF4" w:rsidP="004C37F5">
      <w:pPr>
        <w:spacing w:before="120" w:after="240" w:line="240" w:lineRule="auto"/>
        <w:rPr>
          <w:rFonts w:cs="Times New Roman"/>
          <w:szCs w:val="24"/>
        </w:rPr>
      </w:pPr>
      <w:r w:rsidRPr="004C37F5">
        <w:rPr>
          <w:rFonts w:cs="Times New Roman"/>
          <w:szCs w:val="24"/>
        </w:rPr>
        <w:t>Postup tvorby datového souboru byl následující:</w:t>
      </w:r>
    </w:p>
    <w:p w:rsidR="00C86AF4" w:rsidRPr="004C37F5" w:rsidRDefault="00C86AF4" w:rsidP="004C37F5">
      <w:pPr>
        <w:pStyle w:val="Odstavecseseznamem"/>
        <w:numPr>
          <w:ilvl w:val="0"/>
          <w:numId w:val="1"/>
        </w:numPr>
        <w:spacing w:before="120" w:after="240" w:line="240" w:lineRule="auto"/>
        <w:rPr>
          <w:rFonts w:cs="Times New Roman"/>
          <w:szCs w:val="24"/>
        </w:rPr>
      </w:pPr>
      <w:r w:rsidRPr="004C37F5">
        <w:rPr>
          <w:rFonts w:cs="Times New Roman"/>
          <w:szCs w:val="24"/>
        </w:rPr>
        <w:lastRenderedPageBreak/>
        <w:t xml:space="preserve">Získaní dat o podnicích, u kterých </w:t>
      </w:r>
      <w:proofErr w:type="gramStart"/>
      <w:r w:rsidRPr="004C37F5">
        <w:rPr>
          <w:rFonts w:cs="Times New Roman"/>
          <w:szCs w:val="24"/>
        </w:rPr>
        <w:t>byl zjištěni</w:t>
      </w:r>
      <w:proofErr w:type="gramEnd"/>
      <w:r w:rsidRPr="004C37F5">
        <w:rPr>
          <w:rFonts w:cs="Times New Roman"/>
          <w:szCs w:val="24"/>
        </w:rPr>
        <w:t xml:space="preserve"> úpadek a u kterých jsou dostupné finanční výkazy za rok před jeho zjištěním</w:t>
      </w:r>
    </w:p>
    <w:p w:rsidR="00C86AF4" w:rsidRPr="004C37F5" w:rsidRDefault="00C86AF4" w:rsidP="004C37F5">
      <w:pPr>
        <w:pStyle w:val="Odstavecseseznamem"/>
        <w:numPr>
          <w:ilvl w:val="0"/>
          <w:numId w:val="1"/>
        </w:numPr>
        <w:spacing w:before="120" w:after="240" w:line="240" w:lineRule="auto"/>
        <w:rPr>
          <w:rFonts w:cs="Times New Roman"/>
          <w:szCs w:val="24"/>
        </w:rPr>
      </w:pPr>
      <w:r w:rsidRPr="004C37F5">
        <w:rPr>
          <w:rFonts w:cs="Times New Roman"/>
          <w:szCs w:val="24"/>
        </w:rPr>
        <w:t>Získání dat o stejném počtu bezproblémových podniků, a to náhodným výběrem z celkového počtu bezproblémových podniků odpovídajícího obratu a oboru podnikání</w:t>
      </w:r>
    </w:p>
    <w:p w:rsidR="00C86AF4" w:rsidRPr="004C37F5" w:rsidRDefault="00C86AF4" w:rsidP="004C37F5">
      <w:pPr>
        <w:pStyle w:val="Odstavecseseznamem"/>
        <w:numPr>
          <w:ilvl w:val="0"/>
          <w:numId w:val="1"/>
        </w:numPr>
        <w:spacing w:before="120" w:after="240" w:line="240" w:lineRule="auto"/>
        <w:rPr>
          <w:rFonts w:cs="Times New Roman"/>
          <w:szCs w:val="24"/>
        </w:rPr>
      </w:pPr>
      <w:r w:rsidRPr="004C37F5">
        <w:rPr>
          <w:rFonts w:cs="Times New Roman"/>
          <w:szCs w:val="24"/>
        </w:rPr>
        <w:t>Kontrola dostupných finančních údajů u bezproblémových podniků a „náhrada“ náhodným výběrem získaných podniků tam, kde se ukázala nedostatečnost finančních údajů za jiný podnik odpovídající kritériím matching pairs.</w:t>
      </w:r>
    </w:p>
    <w:p w:rsidR="00C86AF4" w:rsidRPr="00F25673" w:rsidRDefault="00C86AF4" w:rsidP="00F25673">
      <w:pPr>
        <w:rPr>
          <w:rFonts w:cs="Times New Roman"/>
          <w:szCs w:val="24"/>
        </w:rPr>
      </w:pPr>
      <w:r w:rsidRPr="00F25673">
        <w:rPr>
          <w:rFonts w:cs="Times New Roman"/>
          <w:szCs w:val="24"/>
        </w:rPr>
        <w:t>Tímto postupem byl získán datový soubor obsahující 1 654 podniků (z toho 827 podniků v úpadku a 827 bezproblémových podniků).</w:t>
      </w:r>
    </w:p>
    <w:p w:rsidR="00C86AF4" w:rsidRPr="00F25673" w:rsidRDefault="00C86AF4" w:rsidP="004C37F5">
      <w:pPr>
        <w:spacing w:before="120" w:after="240" w:line="240" w:lineRule="auto"/>
        <w:rPr>
          <w:rFonts w:cs="Times New Roman"/>
          <w:szCs w:val="24"/>
          <w:lang w:eastAsia="cs-CZ"/>
        </w:rPr>
      </w:pPr>
      <w:r w:rsidRPr="00F25673">
        <w:rPr>
          <w:rFonts w:cs="Times New Roman"/>
          <w:szCs w:val="24"/>
          <w:lang w:eastAsia="cs-CZ"/>
        </w:rPr>
        <w:t>Statistická analýza byla provedena krokově. Nejprve byla provedena analýza finančních charakteristik úpadkových podniků. Tato analýza byla vyhodnocena a byly z ní vyvozeny závěry pro další postup jak pro následnou statistickou analýzu, tak pro úvahy o vhodné implementaci preventivní restrukturalizace do národní právní úpravy.</w:t>
      </w:r>
      <w:r w:rsidR="00D8617E" w:rsidRPr="00F25673">
        <w:rPr>
          <w:rFonts w:cs="Times New Roman"/>
          <w:szCs w:val="24"/>
          <w:lang w:eastAsia="cs-CZ"/>
        </w:rPr>
        <w:t xml:space="preserve"> Metodika a výsledky této analýzy jsou popsány níže.</w:t>
      </w:r>
    </w:p>
    <w:p w:rsidR="00D8617E" w:rsidRDefault="00D8617E" w:rsidP="004C37F5">
      <w:pPr>
        <w:spacing w:before="120" w:after="240" w:line="240" w:lineRule="auto"/>
        <w:rPr>
          <w:rFonts w:cs="Times New Roman"/>
          <w:szCs w:val="24"/>
          <w:lang w:eastAsia="cs-CZ"/>
        </w:rPr>
      </w:pPr>
      <w:r w:rsidRPr="004C37F5">
        <w:rPr>
          <w:rFonts w:cs="Times New Roman"/>
          <w:szCs w:val="24"/>
          <w:lang w:eastAsia="cs-CZ"/>
        </w:rPr>
        <w:t xml:space="preserve">Dále </w:t>
      </w:r>
      <w:r w:rsidR="00BE4CF9" w:rsidRPr="004C37F5">
        <w:rPr>
          <w:rFonts w:cs="Times New Roman"/>
          <w:szCs w:val="24"/>
          <w:lang w:eastAsia="cs-CZ"/>
        </w:rPr>
        <w:t xml:space="preserve">byla </w:t>
      </w:r>
      <w:r w:rsidRPr="004C37F5">
        <w:rPr>
          <w:rFonts w:cs="Times New Roman"/>
          <w:szCs w:val="24"/>
          <w:lang w:eastAsia="cs-CZ"/>
        </w:rPr>
        <w:t>provedena analýza finančních charakteristik úpadkových a bezproblémových podniků za účelem identifikace těch finančních charakteristik, které mají diskriminační potenciál pro rozlišení úpadkových a bezproblémových podniků a jsou tak vhodnými vstupy pro signály včasného varování. Metodika a výsledky této analýzy jsou rovněž popsány níže.</w:t>
      </w:r>
    </w:p>
    <w:p w:rsidR="00E946F2" w:rsidRPr="004C37F5" w:rsidRDefault="00E946F2" w:rsidP="004C37F5">
      <w:pPr>
        <w:spacing w:before="120" w:after="240" w:line="240" w:lineRule="auto"/>
        <w:rPr>
          <w:rFonts w:cs="Times New Roman"/>
          <w:szCs w:val="24"/>
          <w:lang w:eastAsia="cs-CZ"/>
        </w:rPr>
      </w:pPr>
      <w:r>
        <w:rPr>
          <w:rFonts w:cs="Times New Roman"/>
          <w:szCs w:val="24"/>
          <w:lang w:eastAsia="cs-CZ"/>
        </w:rPr>
        <w:t>Další výstupy, které popisují, analyzují současný stav, jsou uvedeny ve sborníku z konference Insolvence 2019, který tvoří přílohu průběžné zprávy.</w:t>
      </w:r>
    </w:p>
    <w:p w:rsidR="00451E32" w:rsidRPr="004C37F5" w:rsidRDefault="0058267B" w:rsidP="005A5A62">
      <w:pPr>
        <w:pStyle w:val="Nadpis2"/>
        <w:numPr>
          <w:ilvl w:val="1"/>
          <w:numId w:val="15"/>
        </w:numPr>
      </w:pPr>
      <w:bookmarkStart w:id="3" w:name="_Toc31054443"/>
      <w:r>
        <w:t>Z</w:t>
      </w:r>
      <w:r w:rsidR="00451E32" w:rsidRPr="004C37F5">
        <w:t xml:space="preserve">apojení </w:t>
      </w:r>
      <w:r w:rsidR="00451E32" w:rsidRPr="00E01698">
        <w:t>jednotlivých</w:t>
      </w:r>
      <w:r w:rsidR="00451E32" w:rsidRPr="004C37F5">
        <w:t xml:space="preserve"> členů</w:t>
      </w:r>
      <w:bookmarkEnd w:id="3"/>
    </w:p>
    <w:p w:rsidR="00943640" w:rsidRPr="004C37F5" w:rsidRDefault="00943640" w:rsidP="004C37F5">
      <w:pPr>
        <w:spacing w:before="120" w:after="240" w:line="240" w:lineRule="auto"/>
        <w:rPr>
          <w:rFonts w:cs="Times New Roman"/>
          <w:szCs w:val="24"/>
        </w:rPr>
      </w:pPr>
      <w:r w:rsidRPr="004C37F5">
        <w:rPr>
          <w:rFonts w:cs="Times New Roman"/>
          <w:szCs w:val="24"/>
        </w:rPr>
        <w:t xml:space="preserve">Do práce na projektu </w:t>
      </w:r>
      <w:proofErr w:type="gramStart"/>
      <w:r w:rsidRPr="004C37F5">
        <w:rPr>
          <w:rFonts w:cs="Times New Roman"/>
          <w:szCs w:val="24"/>
        </w:rPr>
        <w:t>byly</w:t>
      </w:r>
      <w:proofErr w:type="gramEnd"/>
      <w:r w:rsidRPr="004C37F5">
        <w:rPr>
          <w:rFonts w:cs="Times New Roman"/>
          <w:szCs w:val="24"/>
        </w:rPr>
        <w:t xml:space="preserve"> zapojeni všichni členové týmu. Hlavním úkolem řešitele byla zejména koordinace aktivit ostatních členů týmu</w:t>
      </w:r>
      <w:r w:rsidR="00451E32" w:rsidRPr="004C37F5">
        <w:rPr>
          <w:rFonts w:cs="Times New Roman"/>
          <w:szCs w:val="24"/>
        </w:rPr>
        <w:t>. Členové týmu z řad ekonomů (řešitel – Ing. Jaroslav Schönfeld, Ph.D., Prof. Ing. Luboš Smrčka, CSc., Ing. Michal Kuděj a Ing. Lee Louda, Ph.D.) se podíleli zejména na ekonomické a kvantitativní analýze. Členové z řad právníků (Doc.</w:t>
      </w:r>
      <w:r w:rsidR="0071331D" w:rsidRPr="004C37F5">
        <w:rPr>
          <w:rFonts w:cs="Times New Roman"/>
          <w:szCs w:val="24"/>
        </w:rPr>
        <w:t xml:space="preserve"> </w:t>
      </w:r>
      <w:r w:rsidR="00451E32" w:rsidRPr="004C37F5">
        <w:rPr>
          <w:rFonts w:cs="Times New Roman"/>
          <w:szCs w:val="24"/>
        </w:rPr>
        <w:t xml:space="preserve">JUDr. Bohumil Havel, Ph.D., Mgr. Ondřej Zezulka, Mgr. Ing. Klára Vítková, Ph.D., Mgr. Dušan Sedláček a Mgr. Jiří Tomola) se zabývali zejména právními aspekty a možnými způsoby implementace preventivní restrukturalizace do národní právní úpravy, a to na základě výsledků analýz ekonomického týmu. </w:t>
      </w:r>
    </w:p>
    <w:p w:rsidR="00451E32" w:rsidRPr="004C37F5" w:rsidRDefault="00451E32" w:rsidP="005A5A62">
      <w:pPr>
        <w:pStyle w:val="Nadpis2"/>
        <w:numPr>
          <w:ilvl w:val="1"/>
          <w:numId w:val="15"/>
        </w:numPr>
      </w:pPr>
      <w:bookmarkStart w:id="4" w:name="_Toc31054444"/>
      <w:r w:rsidRPr="004C37F5">
        <w:t xml:space="preserve">Čerpání </w:t>
      </w:r>
      <w:r w:rsidRPr="00E01698">
        <w:t>finančních</w:t>
      </w:r>
      <w:r w:rsidRPr="004C37F5">
        <w:t xml:space="preserve"> prostředků</w:t>
      </w:r>
      <w:bookmarkEnd w:id="4"/>
    </w:p>
    <w:p w:rsidR="00943640" w:rsidRPr="004C37F5" w:rsidRDefault="00451E32" w:rsidP="004C37F5">
      <w:pPr>
        <w:spacing w:before="120" w:after="240" w:line="240" w:lineRule="auto"/>
        <w:rPr>
          <w:rFonts w:cs="Times New Roman"/>
          <w:szCs w:val="24"/>
        </w:rPr>
      </w:pPr>
      <w:r w:rsidRPr="004C37F5">
        <w:rPr>
          <w:rFonts w:cs="Times New Roman"/>
          <w:szCs w:val="24"/>
        </w:rPr>
        <w:t>Finanční prostředky byly čerpány zcela v souladu se schváleným plánem.</w:t>
      </w:r>
    </w:p>
    <w:p w:rsidR="002A6372" w:rsidRDefault="002A6372" w:rsidP="005A5A62">
      <w:pPr>
        <w:pStyle w:val="Nadpis2"/>
        <w:numPr>
          <w:ilvl w:val="1"/>
          <w:numId w:val="15"/>
        </w:numPr>
        <w:spacing w:before="120" w:after="240"/>
        <w:ind w:left="1077"/>
      </w:pPr>
      <w:bookmarkStart w:id="5" w:name="_Toc31054445"/>
      <w:r w:rsidRPr="004C37F5">
        <w:t xml:space="preserve">Naplňování </w:t>
      </w:r>
      <w:r w:rsidRPr="00E01698">
        <w:t>programu</w:t>
      </w:r>
      <w:r w:rsidRPr="004C37F5">
        <w:t xml:space="preserve"> Éta</w:t>
      </w:r>
      <w:bookmarkEnd w:id="5"/>
    </w:p>
    <w:p w:rsidR="00843358" w:rsidRDefault="00843358" w:rsidP="00843358">
      <w:r>
        <w:t xml:space="preserve">Dne 26. 6. 2019 byla v Úředním věstníku EU publikována </w:t>
      </w:r>
      <w:r w:rsidRPr="00DC39F8">
        <w:t>směrnice EP a Rady (EU) 2019/1023 ze dne 20. června 2019 o rámcích preventivní restrukturalizace, o oddlužení a zákazech činnosti a opatřeních ke zvýšení účinnosti postupů restrukturalizace, insolvence a oddlužení a o změně směrnice (EU) 2017/1132 (směrnice o restrukturalizaci a insolvenci)</w:t>
      </w:r>
      <w:r>
        <w:t xml:space="preserve">. Základní transpoziční lhůta hlavy II uplyne 17. 7. 2021, prodloužená 17. 7. 2022. Harmonogram připravovaného plánu legislativních prací vlády na příští rok počítá s předložením návrhu transpozičního předpisu pracovním orgánům vlády v červenci 2020. Od června 2019 působí při Ministerstvu spravedlnosti expertní pracovní skupina diskutující věcná řešení transpozice, jejíž setkání probíhají zhruba v intervalu každých šesti týdnů. Činnosti této </w:t>
      </w:r>
      <w:r>
        <w:lastRenderedPageBreak/>
        <w:t xml:space="preserve">skupiny se účastní 6 členů projektové týmu (Schönfeld, J., Kuděj, M., Louda, L., Havel, B., </w:t>
      </w:r>
      <w:r w:rsidR="00A57506">
        <w:t>Zezulka, O., Vítková, K.)</w:t>
      </w:r>
    </w:p>
    <w:p w:rsidR="004C37F5" w:rsidRDefault="00335066" w:rsidP="00A57506">
      <w:pPr>
        <w:rPr>
          <w:lang w:eastAsia="cs-CZ"/>
        </w:rPr>
      </w:pPr>
      <w:r>
        <w:rPr>
          <w:lang w:eastAsia="cs-CZ"/>
        </w:rPr>
        <w:t xml:space="preserve">Projekt postupně naplňuje své uplatnění prostřednictvím externího aplikačního garanta (ministerstvo spravedlnosti), které spočívá v identifikaci a odstraňování barier překážek </w:t>
      </w:r>
      <w:r w:rsidR="00843358">
        <w:rPr>
          <w:lang w:eastAsia="cs-CZ"/>
        </w:rPr>
        <w:t>bránících včasné</w:t>
      </w:r>
      <w:r>
        <w:rPr>
          <w:lang w:eastAsia="cs-CZ"/>
        </w:rPr>
        <w:t xml:space="preserve"> předinsolve</w:t>
      </w:r>
      <w:r w:rsidR="00843358">
        <w:rPr>
          <w:lang w:eastAsia="cs-CZ"/>
        </w:rPr>
        <w:t>n</w:t>
      </w:r>
      <w:r>
        <w:rPr>
          <w:lang w:eastAsia="cs-CZ"/>
        </w:rPr>
        <w:t xml:space="preserve">ční restrukturalizaci životaschopných podniků ve finančních potížích v </w:t>
      </w:r>
      <w:r w:rsidR="008E2B2A">
        <w:rPr>
          <w:lang w:eastAsia="cs-CZ"/>
        </w:rPr>
        <w:t>ČR</w:t>
      </w:r>
      <w:r>
        <w:rPr>
          <w:lang w:eastAsia="cs-CZ"/>
        </w:rPr>
        <w:t>, resp. stanovením relevantních postupů v této oblasti.</w:t>
      </w:r>
      <w:r w:rsidR="008E2B2A">
        <w:rPr>
          <w:lang w:eastAsia="cs-CZ"/>
        </w:rPr>
        <w:t xml:space="preserve">  Zjištěné výstupy z doposud realizovaných ekonomicko</w:t>
      </w:r>
      <w:r w:rsidR="00A57506">
        <w:rPr>
          <w:lang w:eastAsia="cs-CZ"/>
        </w:rPr>
        <w:t>-statistických</w:t>
      </w:r>
      <w:r w:rsidR="008E2B2A">
        <w:rPr>
          <w:lang w:eastAsia="cs-CZ"/>
        </w:rPr>
        <w:t xml:space="preserve"> </w:t>
      </w:r>
      <w:r w:rsidR="00843358">
        <w:rPr>
          <w:lang w:eastAsia="cs-CZ"/>
        </w:rPr>
        <w:t>analýz</w:t>
      </w:r>
      <w:r w:rsidR="0036596F">
        <w:rPr>
          <w:lang w:eastAsia="cs-CZ"/>
        </w:rPr>
        <w:t xml:space="preserve"> dle závazného harmonogramu</w:t>
      </w:r>
      <w:r w:rsidR="00A57506">
        <w:rPr>
          <w:lang w:eastAsia="cs-CZ"/>
        </w:rPr>
        <w:t xml:space="preserve"> </w:t>
      </w:r>
      <w:r w:rsidR="00843358">
        <w:rPr>
          <w:lang w:eastAsia="cs-CZ"/>
        </w:rPr>
        <w:t>se</w:t>
      </w:r>
      <w:r w:rsidR="008E2B2A">
        <w:rPr>
          <w:lang w:eastAsia="cs-CZ"/>
        </w:rPr>
        <w:t xml:space="preserve"> prostřednictvím intenzivní spolupráce s externím aplikačním garantem přímo promítají do připravovaného</w:t>
      </w:r>
      <w:r w:rsidR="0036596F">
        <w:rPr>
          <w:lang w:eastAsia="cs-CZ"/>
        </w:rPr>
        <w:t xml:space="preserve"> legislativního návrhu </w:t>
      </w:r>
      <w:r w:rsidR="002703E1">
        <w:rPr>
          <w:lang w:eastAsia="cs-CZ"/>
        </w:rPr>
        <w:t>(výstup Hleg)</w:t>
      </w:r>
      <w:r w:rsidR="00A57506">
        <w:rPr>
          <w:lang w:eastAsia="cs-CZ"/>
        </w:rPr>
        <w:t xml:space="preserve"> a </w:t>
      </w:r>
      <w:r w:rsidR="002703E1">
        <w:rPr>
          <w:lang w:eastAsia="cs-CZ"/>
        </w:rPr>
        <w:t>vy</w:t>
      </w:r>
      <w:r w:rsidR="0036596F">
        <w:rPr>
          <w:lang w:eastAsia="cs-CZ"/>
        </w:rPr>
        <w:t>tvoření algoritmu pro signály včasného varování</w:t>
      </w:r>
      <w:r w:rsidR="002703E1">
        <w:rPr>
          <w:lang w:eastAsia="cs-CZ"/>
        </w:rPr>
        <w:t>.</w:t>
      </w:r>
    </w:p>
    <w:p w:rsidR="00C60A0B" w:rsidRDefault="002703E1" w:rsidP="00A57506">
      <w:pPr>
        <w:rPr>
          <w:lang w:eastAsia="cs-CZ"/>
        </w:rPr>
      </w:pPr>
      <w:r>
        <w:rPr>
          <w:lang w:eastAsia="cs-CZ"/>
        </w:rPr>
        <w:t>Připravovaný systém včasného varování poskytne podnikům možnost včasné identifikace hrozby podnikové krize v době, kdy je ještě pravděpodobnost úspěšné restrukturalizace vysoká. Včasná a úspěšná (preventivní) restrukturalizace bude mít pozitivní národohospodářský účinek ve smyslu elimina</w:t>
      </w:r>
      <w:r w:rsidR="00C60A0B">
        <w:rPr>
          <w:lang w:eastAsia="cs-CZ"/>
        </w:rPr>
        <w:t>ce</w:t>
      </w:r>
      <w:r>
        <w:rPr>
          <w:lang w:eastAsia="cs-CZ"/>
        </w:rPr>
        <w:t xml:space="preserve"> národohospodářských</w:t>
      </w:r>
      <w:r w:rsidR="00C60A0B">
        <w:rPr>
          <w:lang w:eastAsia="cs-CZ"/>
        </w:rPr>
        <w:t xml:space="preserve"> </w:t>
      </w:r>
      <w:r>
        <w:rPr>
          <w:lang w:eastAsia="cs-CZ"/>
        </w:rPr>
        <w:t>škod a snížení transakčních nákladů v ekonomice, což přispěje k vyšší konkurenceschopnosti průmyslových podniků v globalizovaném a silně konkrečním ekonomickém prostředí.</w:t>
      </w:r>
    </w:p>
    <w:p w:rsidR="00C60A0B" w:rsidRDefault="00C60A0B" w:rsidP="00ED115D">
      <w:pPr>
        <w:ind w:left="360"/>
        <w:rPr>
          <w:lang w:eastAsia="cs-CZ"/>
        </w:rPr>
      </w:pPr>
      <w:r>
        <w:rPr>
          <w:lang w:eastAsia="cs-CZ"/>
        </w:rPr>
        <w:br w:type="page"/>
      </w:r>
    </w:p>
    <w:p w:rsidR="002A6372" w:rsidRDefault="002A6372" w:rsidP="005A5A62">
      <w:pPr>
        <w:pStyle w:val="Nadpis1"/>
        <w:numPr>
          <w:ilvl w:val="0"/>
          <w:numId w:val="15"/>
        </w:numPr>
      </w:pPr>
      <w:bookmarkStart w:id="6" w:name="_Toc31054446"/>
      <w:r w:rsidRPr="00A403CD">
        <w:lastRenderedPageBreak/>
        <w:t>VÝSLEDKY JEDNOTLIVÝCH ČINNOSTÍ</w:t>
      </w:r>
      <w:bookmarkEnd w:id="6"/>
    </w:p>
    <w:p w:rsidR="00C60A0B" w:rsidRDefault="00C60A0B" w:rsidP="00C60A0B">
      <w:pPr>
        <w:spacing w:before="120" w:after="240" w:line="240" w:lineRule="auto"/>
        <w:rPr>
          <w:lang w:eastAsia="cs-CZ"/>
        </w:rPr>
      </w:pPr>
      <w:r>
        <w:rPr>
          <w:lang w:eastAsia="cs-CZ"/>
        </w:rPr>
        <w:t>V níže uvedené části jsou popsány postupy a výsledky realizovaných statistických analýz v roce 2019.</w:t>
      </w:r>
    </w:p>
    <w:p w:rsidR="00740020" w:rsidRDefault="00740020" w:rsidP="00C60A0B">
      <w:pPr>
        <w:spacing w:before="120" w:after="240" w:line="240" w:lineRule="auto"/>
        <w:rPr>
          <w:lang w:eastAsia="cs-CZ"/>
        </w:rPr>
      </w:pPr>
    </w:p>
    <w:p w:rsidR="00740020" w:rsidRDefault="00740020" w:rsidP="00740020">
      <w:pPr>
        <w:pStyle w:val="Nadpis2"/>
      </w:pPr>
      <w:bookmarkStart w:id="7" w:name="_Toc31054447"/>
      <w:proofErr w:type="gramStart"/>
      <w:r>
        <w:t>2.1</w:t>
      </w:r>
      <w:proofErr w:type="gramEnd"/>
      <w:r>
        <w:t>.</w:t>
      </w:r>
      <w:r>
        <w:tab/>
        <w:t>Finanční charakteristiky podniků před vyhlášením moratoria</w:t>
      </w:r>
      <w:bookmarkEnd w:id="7"/>
    </w:p>
    <w:p w:rsidR="00740020" w:rsidRDefault="00740020" w:rsidP="00C60A0B">
      <w:pPr>
        <w:spacing w:before="120" w:after="240" w:line="240" w:lineRule="auto"/>
        <w:rPr>
          <w:lang w:eastAsia="cs-CZ"/>
        </w:rPr>
      </w:pPr>
    </w:p>
    <w:p w:rsidR="00740020" w:rsidRPr="00740020" w:rsidRDefault="00740020" w:rsidP="00740020">
      <w:pPr>
        <w:pStyle w:val="Textodstavce"/>
        <w:ind w:firstLine="0"/>
        <w:rPr>
          <w:bCs/>
          <w:szCs w:val="24"/>
        </w:rPr>
      </w:pPr>
      <w:bookmarkStart w:id="8" w:name="_Toc506069322"/>
      <w:bookmarkStart w:id="9" w:name="_Toc506149949"/>
      <w:bookmarkStart w:id="10" w:name="_Toc396385080"/>
      <w:bookmarkStart w:id="11" w:name="_Toc396484729"/>
      <w:bookmarkStart w:id="12" w:name="_Hlk512246265"/>
      <w:r>
        <w:rPr>
          <w:bCs/>
          <w:szCs w:val="24"/>
        </w:rPr>
        <w:t xml:space="preserve">Tento výzkum se zabývá problematikou finančních charakteristik podniků před vyhlášením moratoria, jehož smyslem je zejména odvrácení hrozícího úpadku. Projektový tým se ve svém výzkumu zaměřil na finanční charakteristiky podniků před jeho vyhlášením s cílem identifikovat, v jaké finanční kondici podniky do režimu moratoria vstupují. Hlavním cílem bylo hledat odpověď na základní otázku, zda je šance, že pomocí moratoria dojde k odvrácení úpadku, tedy zda moratorium plní svou základní funkci. Výzkum byl realizován pomocí kvantitativní analýzy vybraných poměrových a syntetických finančních ukazatelů a jejich vzájemných vztahů s cílem nalézt odpověď na další otázku, a </w:t>
      </w:r>
      <w:r w:rsidRPr="001F460E">
        <w:rPr>
          <w:bCs/>
          <w:szCs w:val="24"/>
        </w:rPr>
        <w:t>to jaké úrovně finančních ukazatelů byly charakteristické pro podniky, které vstoupily do režimu moratoria</w:t>
      </w:r>
      <w:r>
        <w:rPr>
          <w:bCs/>
          <w:szCs w:val="24"/>
        </w:rPr>
        <w:t>,</w:t>
      </w:r>
      <w:r w:rsidRPr="001F460E">
        <w:rPr>
          <w:bCs/>
          <w:szCs w:val="24"/>
        </w:rPr>
        <w:t xml:space="preserve"> a co tyto úrovně indikovaly.</w:t>
      </w:r>
      <w:r>
        <w:rPr>
          <w:bCs/>
          <w:szCs w:val="24"/>
        </w:rPr>
        <w:t xml:space="preserve">  Výsledky výzkumu prokázaly, že finanční situace podniků žádajících o moratorium byla natolik nevyhovující, že je možno ji dokonce charakterizovat jako poslední stádium podnikové krize. Taková situace ukazuje, že šance odvrácení úpadku pomocí moratoria byla nízká.</w:t>
      </w:r>
      <w:bookmarkEnd w:id="8"/>
      <w:bookmarkEnd w:id="9"/>
    </w:p>
    <w:p w:rsidR="00740020" w:rsidRPr="00106667" w:rsidRDefault="00740020" w:rsidP="00740020">
      <w:r>
        <w:t xml:space="preserve">Institutu moratoria je věnován díl 4 </w:t>
      </w:r>
      <w:r w:rsidRPr="00106667">
        <w:t xml:space="preserve">zákona č. 182/2006 Sb., o úpadku a způsobech jeho řešení, a to konkrétně paragrafy 115-127. Cílem tohoto </w:t>
      </w:r>
      <w:r>
        <w:t xml:space="preserve">výzkumu však nebyla snaha </w:t>
      </w:r>
      <w:r w:rsidRPr="00106667">
        <w:t xml:space="preserve">řešit právní atributy moratoria obsažené v insolvenčním zákonu, ale </w:t>
      </w:r>
      <w:r>
        <w:t xml:space="preserve">naopak se </w:t>
      </w:r>
      <w:r w:rsidRPr="00106667">
        <w:t xml:space="preserve">zaměřitna ekonomické a podnikatelské souvislosti plynoucí z možnosti využití moratoria. Moratorium umožňuje dočasnou ochranu dlužníka před věřiteli. Především nelze vydat rozhodnutí o úpadku dlužníka po dobu vyhlášení moratoria (maximálně po dobu </w:t>
      </w:r>
      <w:r>
        <w:t>tří</w:t>
      </w:r>
      <w:r w:rsidRPr="00106667">
        <w:t xml:space="preserve"> </w:t>
      </w:r>
      <w:r>
        <w:t>měsíců</w:t>
      </w:r>
      <w:r w:rsidRPr="00106667">
        <w:t>). Současně je dlužník oprávněn přednostně hradit závazky vzniklé 30 dní před vyhlášením moratoria a po dobu trvání moratoria. Dlouhodobé dodávky, tj. ty</w:t>
      </w:r>
      <w:r>
        <w:t>, které trvají</w:t>
      </w:r>
      <w:r w:rsidRPr="00106667">
        <w:t xml:space="preserve"> alespoň tři měsíce před vyhlášením moratoria, energi</w:t>
      </w:r>
      <w:r>
        <w:t>í</w:t>
      </w:r>
      <w:r w:rsidRPr="00106667">
        <w:t xml:space="preserve"> a surovin</w:t>
      </w:r>
      <w:r>
        <w:t>,</w:t>
      </w:r>
      <w:r w:rsidRPr="00106667">
        <w:t xml:space="preserve"> nemohou být dodavateli vypovězeny pro prodlení dlužníka. Tyto základní aspekty moratoria mají primárně směřovat k odvrácení úpadku dlužníka, zachování jeho provozu a nastartování ozdravných sanačních opatření vedoucích k dlouhodobému fungování podniku. </w:t>
      </w:r>
    </w:p>
    <w:p w:rsidR="00740020" w:rsidRDefault="00740020" w:rsidP="00740020">
      <w:r>
        <w:t>Hlavním cílem tohoto výzkumu je odpovědět na otázku, zda institut moratoria v České republice naplňuje účel, pro který bylo moratorium implementováno do insolvenčního zákona, tedy zda finanční charakteristiky v období před vyhlášením moratoria indikují šanci, že dojde k odvrácení úpadku. Dílčím c</w:t>
      </w:r>
      <w:r w:rsidRPr="00F836D3">
        <w:t>ílem příspěvku</w:t>
      </w:r>
      <w:r>
        <w:t xml:space="preserve"> napomáhajícímu k naplnění hlavního cíle </w:t>
      </w:r>
      <w:r w:rsidRPr="00F836D3">
        <w:t>j</w:t>
      </w:r>
      <w:r>
        <w:t>e prezentovat výsledky výzkumu zjišťujícího úroveň finančního zdraví podniků, které využily moratorium, tj. o</w:t>
      </w:r>
      <w:r w:rsidRPr="00F836D3">
        <w:t>dhadnout</w:t>
      </w:r>
      <w:r>
        <w:t>,</w:t>
      </w:r>
      <w:r w:rsidRPr="00F836D3">
        <w:t xml:space="preserve"> v jakém stádiu podnikové krize se </w:t>
      </w:r>
      <w:r>
        <w:t xml:space="preserve">tyto </w:t>
      </w:r>
      <w:r w:rsidRPr="00F836D3">
        <w:t>podniky nacházely.</w:t>
      </w:r>
      <w:r>
        <w:t xml:space="preserve"> </w:t>
      </w:r>
      <w:r>
        <w:lastRenderedPageBreak/>
        <w:t>Další otázkou bylo, jaké vlivy působí na vybrané finanční charakteristiky, resp. tyto finanční charakteristiky determinují.</w:t>
      </w:r>
    </w:p>
    <w:p w:rsidR="00ED115D" w:rsidRDefault="00740020" w:rsidP="00ED115D">
      <w:r>
        <w:t>V rámci tohoto výzkumu byla analyzována finanční data získaná z veřejně dostupných zdrojů a finanční ukazatele, které bylo možno na základě získaných finančních dat stanovit. Analýza byla provedena pomocí sytému IBM SPSS Statist</w:t>
      </w:r>
      <w:r w:rsidR="00ED115D">
        <w:t>ics, verze 25.</w:t>
      </w:r>
    </w:p>
    <w:p w:rsidR="00ED115D" w:rsidRDefault="00ED115D" w:rsidP="00ED115D"/>
    <w:p w:rsidR="00740020" w:rsidRDefault="00740020" w:rsidP="00ED115D">
      <w:pPr>
        <w:pStyle w:val="Nadpis3"/>
        <w:numPr>
          <w:ilvl w:val="2"/>
          <w:numId w:val="15"/>
        </w:numPr>
      </w:pPr>
      <w:bookmarkStart w:id="13" w:name="_Toc31054448"/>
      <w:r>
        <w:t>Datový soubor</w:t>
      </w:r>
      <w:bookmarkEnd w:id="13"/>
    </w:p>
    <w:p w:rsidR="00740020" w:rsidRDefault="00740020" w:rsidP="00740020">
      <w:r>
        <w:t>Datový soubor byl získán z databáze Bisnode Magnusweb, obsahuje podniky (právnické osoby), u kterých bylo na základě insolvenčního zákona vyhlášeno moratorium.  Soubor obsahuje 47 podniků, u kterých bylo vyhlášeno moratorium v období od účinnosti insolvenčního zákona (1. ledna 2008) do konce roku 2017. Jedná se o podniky registrované na celém území České republiky a představený vzorek pokrývá všechna vyhlášená moratoria v daném období. Finanční data byla analyzovaná za tři účetní období před vyhlášením moratoria. Dva podniky však byly ze souboru vyloučeny z důvodu absence relevantních dat. Zdrojem finančních dat jsou finanční výkazy, které byly rovněž získány z databáze Bisnode Magnusweb.</w:t>
      </w:r>
    </w:p>
    <w:p w:rsidR="00740020" w:rsidRDefault="00740020" w:rsidP="00740020">
      <w:r>
        <w:t xml:space="preserve">V souboru byla dále identifikována relevantní data, a to finanční výkazy za tři roky před vyhlášením moratoria. Celkem bylo do zpracování zahrnuto 98 finančních výkazů, a to v následujícím členění dle období před vyhlášením moratoria. </w:t>
      </w:r>
    </w:p>
    <w:p w:rsidR="00740020" w:rsidRDefault="00740020" w:rsidP="00740020"/>
    <w:p w:rsidR="00740020" w:rsidRDefault="00740020" w:rsidP="00740020">
      <w:pPr>
        <w:pStyle w:val="Titulek"/>
      </w:pPr>
      <w:bookmarkStart w:id="14" w:name="_Toc31054777"/>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1</w:t>
      </w:r>
      <w:r w:rsidR="00163A91">
        <w:rPr>
          <w:noProof/>
        </w:rPr>
        <w:fldChar w:fldCharType="end"/>
      </w:r>
      <w:r>
        <w:t xml:space="preserve"> – Věková struktura dat</w:t>
      </w:r>
      <w:bookmarkEnd w:id="14"/>
    </w:p>
    <w:tbl>
      <w:tblPr>
        <w:tblW w:w="8505" w:type="dxa"/>
        <w:tblInd w:w="-5" w:type="dxa"/>
        <w:tblCellMar>
          <w:left w:w="70" w:type="dxa"/>
          <w:right w:w="70" w:type="dxa"/>
        </w:tblCellMar>
        <w:tblLook w:val="04A0"/>
      </w:tblPr>
      <w:tblGrid>
        <w:gridCol w:w="6856"/>
        <w:gridCol w:w="1649"/>
      </w:tblGrid>
      <w:tr w:rsidR="00740020" w:rsidRPr="00ED115D" w:rsidTr="00740020">
        <w:trPr>
          <w:trHeight w:val="272"/>
        </w:trPr>
        <w:tc>
          <w:tcPr>
            <w:tcW w:w="6928" w:type="dxa"/>
            <w:tcBorders>
              <w:top w:val="single" w:sz="4" w:space="0" w:color="auto"/>
              <w:left w:val="single" w:sz="4" w:space="0" w:color="auto"/>
              <w:bottom w:val="single" w:sz="4" w:space="0" w:color="AEAEAE"/>
              <w:right w:val="nil"/>
            </w:tcBorders>
            <w:shd w:val="clear" w:color="000000" w:fill="E0E0E0"/>
          </w:tcPr>
          <w:p w:rsidR="00740020" w:rsidRPr="00ED115D" w:rsidRDefault="00740020" w:rsidP="00ED115D">
            <w:pPr>
              <w:rPr>
                <w:sz w:val="18"/>
                <w:szCs w:val="18"/>
                <w:lang w:eastAsia="cs-CZ"/>
              </w:rPr>
            </w:pPr>
            <w:r w:rsidRPr="00ED115D">
              <w:rPr>
                <w:sz w:val="18"/>
                <w:szCs w:val="18"/>
                <w:lang w:eastAsia="cs-CZ"/>
              </w:rPr>
              <w:t>Období údajů</w:t>
            </w:r>
          </w:p>
        </w:tc>
        <w:tc>
          <w:tcPr>
            <w:tcW w:w="1649" w:type="dxa"/>
            <w:tcBorders>
              <w:top w:val="single" w:sz="4" w:space="0" w:color="auto"/>
              <w:left w:val="nil"/>
              <w:bottom w:val="single" w:sz="4" w:space="0" w:color="AEAEAE"/>
              <w:right w:val="single" w:sz="4" w:space="0" w:color="auto"/>
            </w:tcBorders>
            <w:shd w:val="clear" w:color="auto" w:fill="auto"/>
            <w:noWrap/>
          </w:tcPr>
          <w:p w:rsidR="00740020" w:rsidRPr="00ED115D" w:rsidRDefault="00740020" w:rsidP="00ED115D">
            <w:pPr>
              <w:rPr>
                <w:color w:val="010205"/>
                <w:sz w:val="18"/>
                <w:szCs w:val="18"/>
                <w:lang w:eastAsia="cs-CZ"/>
              </w:rPr>
            </w:pPr>
            <w:r w:rsidRPr="00ED115D">
              <w:rPr>
                <w:color w:val="010205"/>
                <w:sz w:val="18"/>
                <w:szCs w:val="18"/>
                <w:lang w:eastAsia="cs-CZ"/>
              </w:rPr>
              <w:t>Počet podniků</w:t>
            </w:r>
          </w:p>
        </w:tc>
      </w:tr>
      <w:tr w:rsidR="00740020" w:rsidRPr="00ED115D" w:rsidTr="00740020">
        <w:trPr>
          <w:trHeight w:val="272"/>
        </w:trPr>
        <w:tc>
          <w:tcPr>
            <w:tcW w:w="6928" w:type="dxa"/>
            <w:tcBorders>
              <w:top w:val="single" w:sz="4" w:space="0" w:color="auto"/>
              <w:left w:val="single" w:sz="4" w:space="0" w:color="auto"/>
              <w:bottom w:val="single" w:sz="4" w:space="0" w:color="AEAEAE"/>
              <w:right w:val="nil"/>
            </w:tcBorders>
            <w:shd w:val="clear" w:color="000000" w:fill="E0E0E0"/>
            <w:hideMark/>
          </w:tcPr>
          <w:p w:rsidR="00740020" w:rsidRPr="00ED115D" w:rsidRDefault="00740020" w:rsidP="00ED115D">
            <w:pPr>
              <w:rPr>
                <w:sz w:val="18"/>
                <w:szCs w:val="18"/>
                <w:lang w:eastAsia="cs-CZ"/>
              </w:rPr>
            </w:pPr>
            <w:r w:rsidRPr="00ED115D">
              <w:rPr>
                <w:sz w:val="18"/>
                <w:szCs w:val="18"/>
                <w:lang w:eastAsia="cs-CZ"/>
              </w:rPr>
              <w:t>Jeden rok před moratoriem</w:t>
            </w:r>
          </w:p>
        </w:tc>
        <w:tc>
          <w:tcPr>
            <w:tcW w:w="1649" w:type="dxa"/>
            <w:tcBorders>
              <w:top w:val="single" w:sz="4" w:space="0" w:color="auto"/>
              <w:left w:val="nil"/>
              <w:bottom w:val="single" w:sz="4" w:space="0" w:color="AEAEAE"/>
              <w:right w:val="single" w:sz="4" w:space="0" w:color="auto"/>
            </w:tcBorders>
            <w:shd w:val="clear" w:color="auto" w:fill="auto"/>
            <w:noWrap/>
            <w:hideMark/>
          </w:tcPr>
          <w:p w:rsidR="00740020" w:rsidRPr="00ED115D" w:rsidRDefault="00740020" w:rsidP="00ED115D">
            <w:pPr>
              <w:rPr>
                <w:color w:val="010205"/>
                <w:sz w:val="18"/>
                <w:szCs w:val="18"/>
                <w:lang w:eastAsia="cs-CZ"/>
              </w:rPr>
            </w:pPr>
            <w:r w:rsidRPr="00ED115D">
              <w:rPr>
                <w:color w:val="010205"/>
                <w:sz w:val="18"/>
                <w:szCs w:val="18"/>
                <w:lang w:eastAsia="cs-CZ"/>
              </w:rPr>
              <w:t>23</w:t>
            </w:r>
          </w:p>
        </w:tc>
      </w:tr>
      <w:tr w:rsidR="00740020" w:rsidRPr="00ED115D" w:rsidTr="00740020">
        <w:trPr>
          <w:trHeight w:val="272"/>
        </w:trPr>
        <w:tc>
          <w:tcPr>
            <w:tcW w:w="6928" w:type="dxa"/>
            <w:tcBorders>
              <w:top w:val="nil"/>
              <w:left w:val="single" w:sz="4" w:space="0" w:color="auto"/>
              <w:bottom w:val="single" w:sz="4" w:space="0" w:color="AEAEAE"/>
              <w:right w:val="nil"/>
            </w:tcBorders>
            <w:shd w:val="clear" w:color="000000" w:fill="E0E0E0"/>
            <w:hideMark/>
          </w:tcPr>
          <w:p w:rsidR="00740020" w:rsidRPr="00ED115D" w:rsidRDefault="00740020" w:rsidP="00ED115D">
            <w:pPr>
              <w:rPr>
                <w:sz w:val="18"/>
                <w:szCs w:val="18"/>
                <w:lang w:eastAsia="cs-CZ"/>
              </w:rPr>
            </w:pPr>
            <w:r w:rsidRPr="00ED115D">
              <w:rPr>
                <w:sz w:val="18"/>
                <w:szCs w:val="18"/>
                <w:lang w:eastAsia="cs-CZ"/>
              </w:rPr>
              <w:t>Dva roky před moratoriem</w:t>
            </w:r>
          </w:p>
        </w:tc>
        <w:tc>
          <w:tcPr>
            <w:tcW w:w="1649" w:type="dxa"/>
            <w:tcBorders>
              <w:top w:val="nil"/>
              <w:left w:val="nil"/>
              <w:bottom w:val="single" w:sz="4" w:space="0" w:color="AEAEAE"/>
              <w:right w:val="single" w:sz="4" w:space="0" w:color="auto"/>
            </w:tcBorders>
            <w:shd w:val="clear" w:color="auto" w:fill="auto"/>
            <w:noWrap/>
            <w:hideMark/>
          </w:tcPr>
          <w:p w:rsidR="00740020" w:rsidRPr="00ED115D" w:rsidRDefault="00740020" w:rsidP="00ED115D">
            <w:pPr>
              <w:rPr>
                <w:color w:val="010205"/>
                <w:sz w:val="18"/>
                <w:szCs w:val="18"/>
                <w:lang w:eastAsia="cs-CZ"/>
              </w:rPr>
            </w:pPr>
            <w:r w:rsidRPr="00ED115D">
              <w:rPr>
                <w:color w:val="010205"/>
                <w:sz w:val="18"/>
                <w:szCs w:val="18"/>
                <w:lang w:eastAsia="cs-CZ"/>
              </w:rPr>
              <w:t>35</w:t>
            </w:r>
          </w:p>
        </w:tc>
      </w:tr>
      <w:tr w:rsidR="00740020" w:rsidRPr="00ED115D" w:rsidTr="00740020">
        <w:trPr>
          <w:trHeight w:val="272"/>
        </w:trPr>
        <w:tc>
          <w:tcPr>
            <w:tcW w:w="6928" w:type="dxa"/>
            <w:tcBorders>
              <w:top w:val="nil"/>
              <w:left w:val="single" w:sz="4" w:space="0" w:color="auto"/>
              <w:bottom w:val="single" w:sz="4" w:space="0" w:color="AEAEAE"/>
              <w:right w:val="nil"/>
            </w:tcBorders>
            <w:shd w:val="clear" w:color="000000" w:fill="E0E0E0"/>
            <w:hideMark/>
          </w:tcPr>
          <w:p w:rsidR="00740020" w:rsidRPr="00ED115D" w:rsidRDefault="00740020" w:rsidP="00ED115D">
            <w:pPr>
              <w:rPr>
                <w:sz w:val="18"/>
                <w:szCs w:val="18"/>
                <w:lang w:eastAsia="cs-CZ"/>
              </w:rPr>
            </w:pPr>
            <w:r w:rsidRPr="00ED115D">
              <w:rPr>
                <w:sz w:val="18"/>
                <w:szCs w:val="18"/>
                <w:lang w:eastAsia="cs-CZ"/>
              </w:rPr>
              <w:t>Tři roky před moratoriem</w:t>
            </w:r>
          </w:p>
        </w:tc>
        <w:tc>
          <w:tcPr>
            <w:tcW w:w="1649" w:type="dxa"/>
            <w:tcBorders>
              <w:top w:val="nil"/>
              <w:left w:val="nil"/>
              <w:bottom w:val="single" w:sz="4" w:space="0" w:color="AEAEAE"/>
              <w:right w:val="single" w:sz="4" w:space="0" w:color="auto"/>
            </w:tcBorders>
            <w:shd w:val="clear" w:color="auto" w:fill="auto"/>
            <w:noWrap/>
            <w:hideMark/>
          </w:tcPr>
          <w:p w:rsidR="00740020" w:rsidRPr="00ED115D" w:rsidRDefault="00740020" w:rsidP="00ED115D">
            <w:pPr>
              <w:rPr>
                <w:color w:val="010205"/>
                <w:sz w:val="18"/>
                <w:szCs w:val="18"/>
                <w:lang w:eastAsia="cs-CZ"/>
              </w:rPr>
            </w:pPr>
            <w:r w:rsidRPr="00ED115D">
              <w:rPr>
                <w:color w:val="010205"/>
                <w:sz w:val="18"/>
                <w:szCs w:val="18"/>
                <w:lang w:eastAsia="cs-CZ"/>
              </w:rPr>
              <w:t>40</w:t>
            </w:r>
          </w:p>
        </w:tc>
      </w:tr>
      <w:tr w:rsidR="00740020" w:rsidRPr="00ED115D" w:rsidTr="00740020">
        <w:trPr>
          <w:trHeight w:val="272"/>
        </w:trPr>
        <w:tc>
          <w:tcPr>
            <w:tcW w:w="6928" w:type="dxa"/>
            <w:tcBorders>
              <w:top w:val="nil"/>
              <w:left w:val="single" w:sz="4" w:space="0" w:color="auto"/>
              <w:bottom w:val="single" w:sz="4" w:space="0" w:color="auto"/>
              <w:right w:val="nil"/>
            </w:tcBorders>
            <w:shd w:val="clear" w:color="000000" w:fill="E0E0E0"/>
            <w:hideMark/>
          </w:tcPr>
          <w:p w:rsidR="00740020" w:rsidRPr="00ED115D" w:rsidRDefault="00740020" w:rsidP="00ED115D">
            <w:pPr>
              <w:rPr>
                <w:sz w:val="18"/>
                <w:szCs w:val="18"/>
                <w:lang w:eastAsia="cs-CZ"/>
              </w:rPr>
            </w:pPr>
            <w:r w:rsidRPr="00ED115D">
              <w:rPr>
                <w:sz w:val="18"/>
                <w:szCs w:val="18"/>
                <w:lang w:eastAsia="cs-CZ"/>
              </w:rPr>
              <w:t>Celkem</w:t>
            </w:r>
          </w:p>
        </w:tc>
        <w:tc>
          <w:tcPr>
            <w:tcW w:w="1649" w:type="dxa"/>
            <w:tcBorders>
              <w:top w:val="nil"/>
              <w:left w:val="nil"/>
              <w:bottom w:val="single" w:sz="4" w:space="0" w:color="auto"/>
              <w:right w:val="single" w:sz="4" w:space="0" w:color="auto"/>
            </w:tcBorders>
            <w:shd w:val="clear" w:color="auto" w:fill="auto"/>
            <w:noWrap/>
            <w:hideMark/>
          </w:tcPr>
          <w:p w:rsidR="00740020" w:rsidRPr="00ED115D" w:rsidRDefault="00740020" w:rsidP="00ED115D">
            <w:pPr>
              <w:rPr>
                <w:color w:val="010205"/>
                <w:sz w:val="18"/>
                <w:szCs w:val="18"/>
                <w:lang w:eastAsia="cs-CZ"/>
              </w:rPr>
            </w:pPr>
            <w:r w:rsidRPr="00ED115D">
              <w:rPr>
                <w:color w:val="010205"/>
                <w:sz w:val="18"/>
                <w:szCs w:val="18"/>
                <w:lang w:eastAsia="cs-CZ"/>
              </w:rPr>
              <w:t>98</w:t>
            </w:r>
          </w:p>
        </w:tc>
      </w:tr>
    </w:tbl>
    <w:p w:rsidR="00ED115D" w:rsidRPr="00ED115D" w:rsidRDefault="00ED115D" w:rsidP="00ED115D">
      <w:pPr>
        <w:rPr>
          <w:sz w:val="18"/>
          <w:szCs w:val="18"/>
        </w:rPr>
      </w:pPr>
    </w:p>
    <w:p w:rsidR="00740020" w:rsidRDefault="00740020" w:rsidP="00740020">
      <w:r>
        <w:t xml:space="preserve">Na základě finančních výkazů byly vypočteny finanční ukazatele, které byly následně použity pro analýzu finančních charakteristik podniků, u kterých bylo vyhlášeno moratorium. Bylo vybráno následujících pět </w:t>
      </w:r>
      <w:r w:rsidRPr="00945297">
        <w:rPr>
          <w:b/>
        </w:rPr>
        <w:t>poměrových ukazatelů</w:t>
      </w:r>
      <w:r>
        <w:t xml:space="preserve">. </w:t>
      </w:r>
    </w:p>
    <w:p w:rsidR="00740020" w:rsidRDefault="00740020" w:rsidP="007C1EE6">
      <w:pPr>
        <w:pStyle w:val="Odstavecseseznamem"/>
        <w:numPr>
          <w:ilvl w:val="0"/>
          <w:numId w:val="25"/>
        </w:numPr>
        <w:spacing w:after="200" w:line="360" w:lineRule="auto"/>
      </w:pPr>
      <w:r>
        <w:t>Marže primární EBITDA, která představuje základní ukazatel výkonnosti podniku na provozní úrovni. Je stanovena jako podíl primární EBITDA k tržbám, kde primární EBITDA představuje tržby po odečtu výkonové spotřeby a osobních nákladů.</w:t>
      </w:r>
    </w:p>
    <w:p w:rsidR="00740020" w:rsidRPr="00C573F1" w:rsidRDefault="00740020" w:rsidP="007C1EE6">
      <w:pPr>
        <w:pStyle w:val="Odstavecseseznamem"/>
        <w:numPr>
          <w:ilvl w:val="0"/>
          <w:numId w:val="25"/>
        </w:numPr>
        <w:spacing w:after="200" w:line="360" w:lineRule="auto"/>
      </w:pPr>
      <w:r w:rsidRPr="00C573F1">
        <w:t>Deficit nutné hotovosti, resp. podíl skutečné hotovosti na hotovosti nutné (stanovené při požadavku na úroveň ukazatele okamžité (peněžní) likvidity na 15 %), který představuje pozici podniku z hlediska likvidity.</w:t>
      </w:r>
    </w:p>
    <w:p w:rsidR="00740020" w:rsidRDefault="00740020" w:rsidP="007C1EE6">
      <w:pPr>
        <w:pStyle w:val="Odstavecseseznamem"/>
        <w:numPr>
          <w:ilvl w:val="0"/>
          <w:numId w:val="25"/>
        </w:numPr>
        <w:spacing w:after="200" w:line="360" w:lineRule="auto"/>
      </w:pPr>
      <w:r>
        <w:lastRenderedPageBreak/>
        <w:t>Saldo primárních nepeněžních složek pracovního kapitálu (NS PK), resp. podíl aktivních a pasivních primárních NS PK, kde primární NS PK představují zásoby, obchodní pohledávky, obchodní závazky a závazky z osobních nákladů.</w:t>
      </w:r>
    </w:p>
    <w:p w:rsidR="00740020" w:rsidRDefault="00740020" w:rsidP="007C1EE6">
      <w:pPr>
        <w:pStyle w:val="Odstavecseseznamem"/>
        <w:numPr>
          <w:ilvl w:val="0"/>
          <w:numId w:val="25"/>
        </w:numPr>
        <w:spacing w:after="200" w:line="360" w:lineRule="auto"/>
      </w:pPr>
      <w:r>
        <w:t>Rentabilita aktiv měřená úrovní primární EBITDA, která představuje základní provozní efektivnost. Je stanovena jako podíl primární EBITDA a celkových aktiv.</w:t>
      </w:r>
    </w:p>
    <w:p w:rsidR="00740020" w:rsidRDefault="00740020" w:rsidP="00740020">
      <w:r>
        <w:t xml:space="preserve">Výše uvedené poměrové ukazatele byly zvoleny na základě zkušeností </w:t>
      </w:r>
      <w:r w:rsidR="00ED115D">
        <w:t>členů výzkumného týmu</w:t>
      </w:r>
      <w:r>
        <w:t xml:space="preserve"> z jejich dlouholeté praxe v oblasti ohrožených podniků a jejich následné restrukturalizace a reorganizace. Tyto ukazatele se v praxi ukázaly jako signifikantní pro společnosti ohrožené podnikovou </w:t>
      </w:r>
      <w:proofErr w:type="gramStart"/>
      <w:r>
        <w:t>krizí..</w:t>
      </w:r>
      <w:proofErr w:type="gramEnd"/>
    </w:p>
    <w:p w:rsidR="00740020" w:rsidRDefault="00740020" w:rsidP="00740020">
      <w:r>
        <w:t xml:space="preserve">Dále byly vypočteny </w:t>
      </w:r>
      <w:r w:rsidRPr="00945297">
        <w:rPr>
          <w:b/>
        </w:rPr>
        <w:t>ukazatele syntetické</w:t>
      </w:r>
      <w:r>
        <w:t xml:space="preserve"> z řad bankrotních a bonitních ukazatelů, které indikují finanční stav podniku. U syntetických ukazatelů je třeba mít na zřeteli zpoždění jejich předpovědi, tedy nejrelevantnější výsledky získáváme za účetní období bezprostředně předcházejícímu vyhlášení morat</w:t>
      </w:r>
      <w:r w:rsidR="00ED115D">
        <w:t>oria nebo prohlášení insolvence</w:t>
      </w:r>
      <w:r>
        <w:t>. Pro analýzu finančních charakteristik sledovaných podniků byly vybrány následující syntetické ukazatele.</w:t>
      </w:r>
    </w:p>
    <w:p w:rsidR="00740020" w:rsidRDefault="00740020" w:rsidP="007C1EE6">
      <w:pPr>
        <w:pStyle w:val="Odstavecseseznamem"/>
        <w:numPr>
          <w:ilvl w:val="0"/>
          <w:numId w:val="26"/>
        </w:numPr>
        <w:spacing w:after="200" w:line="360" w:lineRule="auto"/>
      </w:pPr>
      <w:r>
        <w:t>Index IN05 (Neumaierová, 2005), integrální index vytvořený pro české podniky zaměřený na predikci bankrotu a zároveň i tvorbu hodnoty podniku.</w:t>
      </w:r>
    </w:p>
    <w:p w:rsidR="00740020" w:rsidRPr="00CC156C" w:rsidRDefault="00740020" w:rsidP="00740020">
      <w:pPr>
        <w:pStyle w:val="Odstavecseseznamem"/>
        <w:jc w:val="center"/>
        <w:rPr>
          <w:sz w:val="20"/>
          <w:szCs w:val="20"/>
          <w:lang w:eastAsia="cs-CZ"/>
        </w:rPr>
      </w:pPr>
    </w:p>
    <w:p w:rsidR="00740020" w:rsidRDefault="00740020" w:rsidP="00740020">
      <w:pPr>
        <w:pStyle w:val="Odstavecseseznamem"/>
        <w:jc w:val="center"/>
        <w:rPr>
          <w:rFonts w:eastAsia="Times New Roman" w:cs="Times New Roman"/>
          <w:szCs w:val="24"/>
          <w:lang w:eastAsia="cs-CZ"/>
        </w:rPr>
      </w:pPr>
      <m:oMath>
        <m:r>
          <w:rPr>
            <w:rFonts w:ascii="Cambria Math" w:eastAsia="Times New Roman" w:cs="Times New Roman"/>
            <w:sz w:val="20"/>
            <w:szCs w:val="20"/>
            <w:lang w:eastAsia="cs-CZ"/>
          </w:rPr>
          <m:t>IN05=0,13</m:t>
        </m:r>
        <m:r>
          <w:rPr>
            <w:rFonts w:ascii="Cambria Math" w:eastAsia="Times New Roman" w:hAnsi="Cambria Math" w:cs="Times New Roman"/>
            <w:sz w:val="20"/>
            <w:szCs w:val="20"/>
            <w:lang w:eastAsia="cs-CZ"/>
          </w:rPr>
          <m:t>×</m:t>
        </m:r>
        <m:f>
          <m:fPr>
            <m:ctrlPr>
              <w:rPr>
                <w:rFonts w:ascii="Cambria Math" w:eastAsia="Times New Roman" w:hAnsi="Cambria Math" w:cs="Times New Roman"/>
                <w:i/>
                <w:sz w:val="20"/>
                <w:szCs w:val="20"/>
                <w:lang w:eastAsia="cs-CZ"/>
              </w:rPr>
            </m:ctrlPr>
          </m:fPr>
          <m:num>
            <m:r>
              <w:rPr>
                <w:rFonts w:ascii="Cambria Math" w:eastAsia="Times New Roman" w:cs="Times New Roman"/>
                <w:sz w:val="20"/>
                <w:szCs w:val="20"/>
                <w:lang w:eastAsia="cs-CZ"/>
              </w:rPr>
              <m:t>A</m:t>
            </m:r>
          </m:num>
          <m:den>
            <m:r>
              <w:rPr>
                <w:rFonts w:ascii="Cambria Math" w:eastAsia="Times New Roman" w:cs="Times New Roman"/>
                <w:sz w:val="20"/>
                <w:szCs w:val="20"/>
                <w:lang w:eastAsia="cs-CZ"/>
              </w:rPr>
              <m:t>CZ</m:t>
            </m:r>
          </m:den>
        </m:f>
        <m:r>
          <w:rPr>
            <w:rFonts w:ascii="Cambria Math" w:eastAsia="Times New Roman" w:cs="Times New Roman"/>
            <w:sz w:val="20"/>
            <w:szCs w:val="20"/>
            <w:lang w:eastAsia="cs-CZ"/>
          </w:rPr>
          <m:t>+0,04</m:t>
        </m:r>
        <m:r>
          <w:rPr>
            <w:rFonts w:ascii="Cambria Math" w:eastAsia="Times New Roman" w:hAnsi="Cambria Math" w:cs="Times New Roman"/>
            <w:sz w:val="20"/>
            <w:szCs w:val="20"/>
            <w:lang w:eastAsia="cs-CZ"/>
          </w:rPr>
          <m:t>×</m:t>
        </m:r>
        <m:f>
          <m:fPr>
            <m:ctrlPr>
              <w:rPr>
                <w:rFonts w:ascii="Cambria Math" w:eastAsia="Times New Roman" w:hAnsi="Cambria Math" w:cs="Times New Roman"/>
                <w:i/>
                <w:sz w:val="20"/>
                <w:szCs w:val="20"/>
                <w:lang w:eastAsia="cs-CZ"/>
              </w:rPr>
            </m:ctrlPr>
          </m:fPr>
          <m:num>
            <m:r>
              <w:rPr>
                <w:rFonts w:ascii="Cambria Math" w:eastAsia="Times New Roman" w:cs="Times New Roman"/>
                <w:sz w:val="20"/>
                <w:szCs w:val="20"/>
                <w:lang w:eastAsia="cs-CZ"/>
              </w:rPr>
              <m:t>EBIT</m:t>
            </m:r>
          </m:num>
          <m:den>
            <m:r>
              <w:rPr>
                <w:rFonts w:ascii="Cambria Math" w:eastAsia="Times New Roman" w:cs="Times New Roman"/>
                <w:sz w:val="20"/>
                <w:szCs w:val="20"/>
                <w:lang w:eastAsia="cs-CZ"/>
              </w:rPr>
              <m:t>NU</m:t>
            </m:r>
          </m:den>
        </m:f>
        <m:r>
          <w:rPr>
            <w:rFonts w:ascii="Cambria Math" w:eastAsia="Times New Roman" w:cs="Times New Roman"/>
            <w:sz w:val="20"/>
            <w:szCs w:val="20"/>
            <w:lang w:eastAsia="cs-CZ"/>
          </w:rPr>
          <m:t>+3,97</m:t>
        </m:r>
        <m:r>
          <w:rPr>
            <w:rFonts w:ascii="Cambria Math" w:eastAsia="Times New Roman" w:hAnsi="Cambria Math" w:cs="Times New Roman"/>
            <w:sz w:val="20"/>
            <w:szCs w:val="20"/>
            <w:lang w:eastAsia="cs-CZ"/>
          </w:rPr>
          <m:t>×</m:t>
        </m:r>
        <m:f>
          <m:fPr>
            <m:ctrlPr>
              <w:rPr>
                <w:rFonts w:ascii="Cambria Math" w:eastAsia="Times New Roman" w:hAnsi="Cambria Math" w:cs="Times New Roman"/>
                <w:i/>
                <w:sz w:val="20"/>
                <w:szCs w:val="20"/>
                <w:lang w:eastAsia="cs-CZ"/>
              </w:rPr>
            </m:ctrlPr>
          </m:fPr>
          <m:num>
            <m:r>
              <w:rPr>
                <w:rFonts w:ascii="Cambria Math" w:eastAsia="Times New Roman" w:cs="Times New Roman"/>
                <w:sz w:val="20"/>
                <w:szCs w:val="20"/>
                <w:lang w:eastAsia="cs-CZ"/>
              </w:rPr>
              <m:t>EBIT</m:t>
            </m:r>
          </m:num>
          <m:den>
            <m:r>
              <w:rPr>
                <w:rFonts w:ascii="Cambria Math" w:eastAsia="Times New Roman" w:cs="Times New Roman"/>
                <w:sz w:val="20"/>
                <w:szCs w:val="20"/>
                <w:lang w:eastAsia="cs-CZ"/>
              </w:rPr>
              <m:t>A</m:t>
            </m:r>
          </m:den>
        </m:f>
        <m:r>
          <w:rPr>
            <w:rFonts w:ascii="Cambria Math" w:eastAsia="Times New Roman" w:cs="Times New Roman"/>
            <w:sz w:val="20"/>
            <w:szCs w:val="20"/>
            <w:lang w:eastAsia="cs-CZ"/>
          </w:rPr>
          <m:t>+0,21</m:t>
        </m:r>
        <m:r>
          <w:rPr>
            <w:rFonts w:ascii="Cambria Math" w:eastAsia="Times New Roman" w:hAnsi="Cambria Math" w:cs="Times New Roman"/>
            <w:sz w:val="20"/>
            <w:szCs w:val="20"/>
            <w:lang w:eastAsia="cs-CZ"/>
          </w:rPr>
          <m:t>×</m:t>
        </m:r>
        <m:f>
          <m:fPr>
            <m:ctrlPr>
              <w:rPr>
                <w:rFonts w:ascii="Cambria Math" w:eastAsia="Times New Roman" w:hAnsi="Cambria Math" w:cs="Times New Roman"/>
                <w:i/>
                <w:sz w:val="20"/>
                <w:szCs w:val="20"/>
                <w:lang w:eastAsia="cs-CZ"/>
              </w:rPr>
            </m:ctrlPr>
          </m:fPr>
          <m:num>
            <m:r>
              <w:rPr>
                <w:rFonts w:ascii="Cambria Math" w:eastAsia="Times New Roman" w:cs="Times New Roman"/>
                <w:sz w:val="20"/>
                <w:szCs w:val="20"/>
                <w:lang w:eastAsia="cs-CZ"/>
              </w:rPr>
              <m:t>V</m:t>
            </m:r>
            <m:r>
              <w:rPr>
                <w:rFonts w:ascii="Cambria Math" w:eastAsia="Times New Roman" w:cs="Times New Roman"/>
                <w:sz w:val="20"/>
                <w:szCs w:val="20"/>
                <w:lang w:eastAsia="cs-CZ"/>
              </w:rPr>
              <m:t>ý</m:t>
            </m:r>
            <m:r>
              <w:rPr>
                <w:rFonts w:ascii="Cambria Math" w:eastAsia="Times New Roman" w:cs="Times New Roman"/>
                <w:sz w:val="20"/>
                <w:szCs w:val="20"/>
                <w:lang w:eastAsia="cs-CZ"/>
              </w:rPr>
              <m:t>n</m:t>
            </m:r>
          </m:num>
          <m:den>
            <m:r>
              <w:rPr>
                <w:rFonts w:ascii="Cambria Math" w:eastAsia="Times New Roman" w:cs="Times New Roman"/>
                <w:sz w:val="20"/>
                <w:szCs w:val="20"/>
                <w:lang w:eastAsia="cs-CZ"/>
              </w:rPr>
              <m:t>A</m:t>
            </m:r>
          </m:den>
        </m:f>
        <m:r>
          <w:rPr>
            <w:rFonts w:ascii="Cambria Math" w:eastAsia="Times New Roman" w:cs="Times New Roman"/>
            <w:sz w:val="20"/>
            <w:szCs w:val="20"/>
            <w:lang w:eastAsia="cs-CZ"/>
          </w:rPr>
          <m:t>+0,09</m:t>
        </m:r>
        <m:r>
          <w:rPr>
            <w:rFonts w:ascii="Cambria Math" w:eastAsia="Times New Roman" w:hAnsi="Cambria Math" w:cs="Times New Roman"/>
            <w:sz w:val="20"/>
            <w:szCs w:val="20"/>
            <w:lang w:eastAsia="cs-CZ"/>
          </w:rPr>
          <m:t>×</m:t>
        </m:r>
        <m:f>
          <m:fPr>
            <m:ctrlPr>
              <w:rPr>
                <w:rFonts w:ascii="Cambria Math" w:eastAsia="Times New Roman" w:hAnsi="Cambria Math" w:cs="Times New Roman"/>
                <w:i/>
                <w:sz w:val="20"/>
                <w:szCs w:val="20"/>
                <w:lang w:eastAsia="cs-CZ"/>
              </w:rPr>
            </m:ctrlPr>
          </m:fPr>
          <m:num>
            <m:r>
              <w:rPr>
                <w:rFonts w:ascii="Cambria Math" w:eastAsia="Times New Roman" w:cs="Times New Roman"/>
                <w:sz w:val="20"/>
                <w:szCs w:val="20"/>
                <w:lang w:eastAsia="cs-CZ"/>
              </w:rPr>
              <m:t>OA</m:t>
            </m:r>
          </m:num>
          <m:den>
            <m:r>
              <w:rPr>
                <w:rFonts w:ascii="Cambria Math" w:eastAsia="Times New Roman" w:cs="Times New Roman"/>
                <w:sz w:val="20"/>
                <w:szCs w:val="20"/>
                <w:lang w:eastAsia="cs-CZ"/>
              </w:rPr>
              <m:t>KrZ</m:t>
            </m:r>
          </m:den>
        </m:f>
      </m:oMath>
      <w:r>
        <w:rPr>
          <w:rFonts w:eastAsia="Times New Roman" w:cs="Times New Roman"/>
          <w:sz w:val="20"/>
          <w:szCs w:val="20"/>
          <w:lang w:eastAsia="cs-CZ"/>
        </w:rPr>
        <w:t xml:space="preserve">             </w:t>
      </w:r>
      <w:r w:rsidRPr="005E21F7">
        <w:rPr>
          <w:rFonts w:eastAsia="Times New Roman" w:cs="Times New Roman"/>
          <w:szCs w:val="24"/>
          <w:lang w:eastAsia="cs-CZ"/>
        </w:rPr>
        <w:t>(1)</w:t>
      </w:r>
      <w:r>
        <w:rPr>
          <w:rFonts w:eastAsia="Times New Roman" w:cs="Times New Roman"/>
          <w:szCs w:val="24"/>
          <w:lang w:eastAsia="cs-CZ"/>
        </w:rPr>
        <w:t>,</w:t>
      </w:r>
    </w:p>
    <w:p w:rsidR="00740020" w:rsidRDefault="00740020" w:rsidP="00740020">
      <w:pPr>
        <w:pStyle w:val="Odstavecseseznamem"/>
        <w:jc w:val="left"/>
      </w:pPr>
      <w:r>
        <w:t>kde</w:t>
      </w:r>
    </w:p>
    <w:p w:rsidR="00740020" w:rsidRDefault="00740020" w:rsidP="00740020">
      <w:pPr>
        <w:pStyle w:val="Odstavecseseznamem"/>
        <w:jc w:val="left"/>
      </w:pPr>
      <w:r>
        <w:t>A = celková aktiva,</w:t>
      </w:r>
    </w:p>
    <w:p w:rsidR="00740020" w:rsidRDefault="00740020" w:rsidP="00740020">
      <w:pPr>
        <w:pStyle w:val="Odstavecseseznamem"/>
        <w:jc w:val="left"/>
      </w:pPr>
      <w:r>
        <w:t>CZ = cizí kapitál,</w:t>
      </w:r>
    </w:p>
    <w:p w:rsidR="00740020" w:rsidRDefault="00740020" w:rsidP="00740020">
      <w:pPr>
        <w:pStyle w:val="Odstavecseseznamem"/>
        <w:jc w:val="left"/>
      </w:pPr>
      <w:r>
        <w:t>NU = nákladové úroky,</w:t>
      </w:r>
    </w:p>
    <w:p w:rsidR="00740020" w:rsidRDefault="00740020" w:rsidP="00740020">
      <w:pPr>
        <w:pStyle w:val="Odstavecseseznamem"/>
        <w:jc w:val="left"/>
      </w:pPr>
      <w:r>
        <w:t>EBIT = zisk před zdaněním a úroky,</w:t>
      </w:r>
    </w:p>
    <w:p w:rsidR="00740020" w:rsidRDefault="00740020" w:rsidP="00740020">
      <w:pPr>
        <w:pStyle w:val="Odstavecseseznamem"/>
        <w:jc w:val="left"/>
      </w:pPr>
      <w:r>
        <w:t>Výn = výnosy,</w:t>
      </w:r>
    </w:p>
    <w:p w:rsidR="00740020" w:rsidRDefault="00740020" w:rsidP="00740020">
      <w:pPr>
        <w:pStyle w:val="Odstavecseseznamem"/>
        <w:jc w:val="left"/>
      </w:pPr>
      <w:r>
        <w:t>OA= oběžná aktiva</w:t>
      </w:r>
    </w:p>
    <w:p w:rsidR="00740020" w:rsidRDefault="00740020" w:rsidP="00740020">
      <w:pPr>
        <w:pStyle w:val="Odstavecseseznamem"/>
        <w:jc w:val="left"/>
      </w:pPr>
      <w:r>
        <w:t>KrZ – krátkodobé závazky</w:t>
      </w:r>
    </w:p>
    <w:p w:rsidR="00ED115D" w:rsidRDefault="00ED115D" w:rsidP="00740020">
      <w:pPr>
        <w:pStyle w:val="Odstavecseseznamem"/>
        <w:jc w:val="left"/>
      </w:pPr>
    </w:p>
    <w:p w:rsidR="00740020" w:rsidRDefault="00740020" w:rsidP="00740020">
      <w:pPr>
        <w:pStyle w:val="Titulek"/>
        <w:ind w:firstLine="708"/>
      </w:pPr>
      <w:bookmarkStart w:id="15" w:name="_Toc31054778"/>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2</w:t>
      </w:r>
      <w:r w:rsidR="00163A91">
        <w:rPr>
          <w:noProof/>
        </w:rPr>
        <w:fldChar w:fldCharType="end"/>
      </w:r>
      <w:r>
        <w:t xml:space="preserve"> – Hodnocení dle indexu IN05</w:t>
      </w:r>
      <w:bookmarkEnd w:id="15"/>
    </w:p>
    <w:tbl>
      <w:tblPr>
        <w:tblW w:w="7800"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1"/>
        <w:gridCol w:w="2569"/>
      </w:tblGrid>
      <w:tr w:rsidR="00740020" w:rsidRPr="00A4799A" w:rsidTr="00740020">
        <w:trPr>
          <w:trHeight w:val="367"/>
        </w:trPr>
        <w:tc>
          <w:tcPr>
            <w:tcW w:w="5231" w:type="dxa"/>
            <w:shd w:val="clear" w:color="auto" w:fill="D9D9D9" w:themeFill="background1" w:themeFillShade="D9"/>
          </w:tcPr>
          <w:p w:rsidR="00740020" w:rsidRPr="005E21F7" w:rsidRDefault="00740020" w:rsidP="00740020">
            <w:pPr>
              <w:spacing w:after="0" w:line="240" w:lineRule="auto"/>
              <w:jc w:val="left"/>
              <w:rPr>
                <w:rFonts w:ascii="Arial" w:eastAsia="Times New Roman" w:hAnsi="Arial" w:cs="Arial"/>
                <w:color w:val="264A60"/>
                <w:sz w:val="18"/>
                <w:szCs w:val="18"/>
                <w:lang w:eastAsia="cs-CZ"/>
              </w:rPr>
            </w:pPr>
          </w:p>
        </w:tc>
        <w:tc>
          <w:tcPr>
            <w:tcW w:w="2569" w:type="dxa"/>
            <w:shd w:val="clear" w:color="auto" w:fill="auto"/>
          </w:tcPr>
          <w:p w:rsidR="00740020" w:rsidRPr="00CC156C" w:rsidRDefault="00740020" w:rsidP="00740020">
            <w:pPr>
              <w:spacing w:after="0" w:line="240" w:lineRule="auto"/>
              <w:jc w:val="left"/>
              <w:rPr>
                <w:rFonts w:ascii="Arial" w:eastAsia="Times New Roman" w:hAnsi="Arial" w:cs="Arial"/>
                <w:color w:val="264A60"/>
                <w:sz w:val="18"/>
                <w:szCs w:val="18"/>
                <w:lang w:eastAsia="cs-CZ"/>
              </w:rPr>
            </w:pPr>
            <w:r w:rsidRPr="00CC156C">
              <w:rPr>
                <w:rFonts w:ascii="Arial" w:eastAsia="Times New Roman" w:hAnsi="Arial" w:cs="Arial"/>
                <w:color w:val="264A60"/>
                <w:sz w:val="18"/>
                <w:szCs w:val="18"/>
                <w:lang w:eastAsia="cs-CZ"/>
              </w:rPr>
              <w:t>Hodnota indexu IN 05</w:t>
            </w:r>
          </w:p>
        </w:tc>
      </w:tr>
      <w:tr w:rsidR="00740020" w:rsidRPr="00A4799A" w:rsidTr="00740020">
        <w:trPr>
          <w:trHeight w:val="395"/>
        </w:trPr>
        <w:tc>
          <w:tcPr>
            <w:tcW w:w="5231" w:type="dxa"/>
            <w:shd w:val="clear" w:color="auto" w:fill="D9D9D9" w:themeFill="background1" w:themeFillShade="D9"/>
          </w:tcPr>
          <w:p w:rsidR="00740020" w:rsidRPr="005E21F7"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Bonitní podnik</w:t>
            </w:r>
          </w:p>
        </w:tc>
        <w:tc>
          <w:tcPr>
            <w:tcW w:w="2569" w:type="dxa"/>
            <w:shd w:val="clear" w:color="auto" w:fill="auto"/>
          </w:tcPr>
          <w:p w:rsidR="00740020" w:rsidRPr="00CC156C" w:rsidRDefault="00740020" w:rsidP="00740020">
            <w:pPr>
              <w:spacing w:after="0" w:line="240" w:lineRule="auto"/>
              <w:jc w:val="left"/>
              <w:rPr>
                <w:rFonts w:ascii="Arial" w:eastAsia="Times New Roman" w:hAnsi="Arial" w:cs="Arial"/>
                <w:color w:val="264A60"/>
                <w:sz w:val="18"/>
                <w:szCs w:val="18"/>
                <w:lang w:eastAsia="cs-CZ"/>
              </w:rPr>
            </w:pPr>
            <w:r w:rsidRPr="00CC156C">
              <w:rPr>
                <w:rFonts w:ascii="Arial" w:eastAsia="Times New Roman" w:hAnsi="Arial" w:cs="Arial"/>
                <w:color w:val="264A60"/>
                <w:sz w:val="18"/>
                <w:szCs w:val="18"/>
                <w:lang w:eastAsia="cs-CZ"/>
              </w:rPr>
              <w:t xml:space="preserve">IN05 </w:t>
            </w:r>
            <w:r w:rsidRPr="00CC156C">
              <w:rPr>
                <w:rFonts w:ascii="Cambria Math" w:eastAsia="Times New Roman" w:hAnsi="Cambria Math" w:cs="Cambria Math"/>
                <w:color w:val="264A60"/>
                <w:sz w:val="18"/>
                <w:szCs w:val="18"/>
                <w:lang w:eastAsia="cs-CZ"/>
              </w:rPr>
              <w:t>∈</w:t>
            </w:r>
            <w:r w:rsidRPr="00CC156C">
              <w:rPr>
                <w:rFonts w:ascii="Arial" w:eastAsia="Times New Roman" w:hAnsi="Arial" w:cs="Arial"/>
                <w:color w:val="264A60"/>
                <w:sz w:val="18"/>
                <w:szCs w:val="18"/>
                <w:lang w:eastAsia="cs-CZ"/>
              </w:rPr>
              <w:t xml:space="preserve"> &lt;</w:t>
            </w:r>
            <w:proofErr w:type="gramStart"/>
            <w:r w:rsidRPr="00CC156C">
              <w:rPr>
                <w:rFonts w:ascii="Arial" w:eastAsia="Times New Roman" w:hAnsi="Arial" w:cs="Arial"/>
                <w:color w:val="264A60"/>
                <w:sz w:val="18"/>
                <w:szCs w:val="18"/>
                <w:lang w:eastAsia="cs-CZ"/>
              </w:rPr>
              <w:t xml:space="preserve">1,6 ; </w:t>
            </w:r>
            <w:r w:rsidRPr="00CC156C">
              <w:rPr>
                <w:rFonts w:ascii="Arial" w:eastAsia="Times New Roman" w:hAnsi="Arial" w:cs="Arial" w:hint="eastAsia"/>
                <w:color w:val="264A60"/>
                <w:sz w:val="18"/>
                <w:szCs w:val="18"/>
                <w:lang w:eastAsia="cs-CZ"/>
              </w:rPr>
              <w:t>∞</w:t>
            </w:r>
            <w:r w:rsidRPr="00CC156C">
              <w:rPr>
                <w:rFonts w:ascii="Arial" w:eastAsia="Times New Roman" w:hAnsi="Arial" w:cs="Arial"/>
                <w:color w:val="264A60"/>
                <w:sz w:val="18"/>
                <w:szCs w:val="18"/>
                <w:lang w:eastAsia="cs-CZ"/>
              </w:rPr>
              <w:t>)</w:t>
            </w:r>
            <w:proofErr w:type="gramEnd"/>
          </w:p>
        </w:tc>
      </w:tr>
      <w:tr w:rsidR="00740020" w:rsidRPr="00A4799A" w:rsidTr="00740020">
        <w:trPr>
          <w:trHeight w:val="367"/>
        </w:trPr>
        <w:tc>
          <w:tcPr>
            <w:tcW w:w="5231" w:type="dxa"/>
            <w:shd w:val="clear" w:color="auto" w:fill="D9D9D9" w:themeFill="background1" w:themeFillShade="D9"/>
          </w:tcPr>
          <w:p w:rsidR="00740020" w:rsidRPr="00A4799A"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Šedá zóna</w:t>
            </w:r>
          </w:p>
        </w:tc>
        <w:tc>
          <w:tcPr>
            <w:tcW w:w="2569" w:type="dxa"/>
            <w:shd w:val="clear" w:color="auto" w:fill="auto"/>
          </w:tcPr>
          <w:p w:rsidR="00740020" w:rsidRPr="00CC156C" w:rsidRDefault="00740020" w:rsidP="00740020">
            <w:pPr>
              <w:spacing w:after="0" w:line="240" w:lineRule="auto"/>
              <w:jc w:val="left"/>
              <w:rPr>
                <w:rFonts w:ascii="Arial" w:eastAsia="Times New Roman" w:hAnsi="Arial" w:cs="Arial"/>
                <w:color w:val="264A60"/>
                <w:sz w:val="18"/>
                <w:szCs w:val="18"/>
                <w:lang w:eastAsia="cs-CZ"/>
              </w:rPr>
            </w:pPr>
            <w:r w:rsidRPr="00CC156C">
              <w:rPr>
                <w:rFonts w:ascii="Arial" w:eastAsia="Times New Roman" w:hAnsi="Arial" w:cs="Arial"/>
                <w:color w:val="264A60"/>
                <w:sz w:val="18"/>
                <w:szCs w:val="18"/>
                <w:lang w:eastAsia="cs-CZ"/>
              </w:rPr>
              <w:t xml:space="preserve">IN05 </w:t>
            </w:r>
            <w:r w:rsidRPr="00CC156C">
              <w:rPr>
                <w:rFonts w:ascii="Cambria Math" w:eastAsia="Times New Roman" w:hAnsi="Cambria Math" w:cs="Cambria Math"/>
                <w:color w:val="264A60"/>
                <w:sz w:val="18"/>
                <w:szCs w:val="18"/>
                <w:lang w:eastAsia="cs-CZ"/>
              </w:rPr>
              <w:t>∈</w:t>
            </w:r>
            <w:r w:rsidRPr="00CC156C">
              <w:rPr>
                <w:rFonts w:ascii="Arial" w:eastAsia="Times New Roman" w:hAnsi="Arial" w:cs="Arial"/>
                <w:color w:val="264A60"/>
                <w:sz w:val="18"/>
                <w:szCs w:val="18"/>
                <w:lang w:eastAsia="cs-CZ"/>
              </w:rPr>
              <w:t xml:space="preserve"> (</w:t>
            </w:r>
            <w:proofErr w:type="gramStart"/>
            <w:r w:rsidRPr="00CC156C">
              <w:rPr>
                <w:rFonts w:ascii="Arial" w:eastAsia="Times New Roman" w:hAnsi="Arial" w:cs="Arial"/>
                <w:color w:val="264A60"/>
                <w:sz w:val="18"/>
                <w:szCs w:val="18"/>
                <w:lang w:eastAsia="cs-CZ"/>
              </w:rPr>
              <w:t>0,9 ; 1,6</w:t>
            </w:r>
            <w:proofErr w:type="gramEnd"/>
            <w:r w:rsidRPr="00CC156C">
              <w:rPr>
                <w:rFonts w:ascii="Arial" w:eastAsia="Times New Roman" w:hAnsi="Arial" w:cs="Arial"/>
                <w:color w:val="264A60"/>
                <w:sz w:val="18"/>
                <w:szCs w:val="18"/>
                <w:lang w:eastAsia="cs-CZ"/>
              </w:rPr>
              <w:t>)</w:t>
            </w:r>
          </w:p>
        </w:tc>
      </w:tr>
      <w:tr w:rsidR="00740020" w:rsidRPr="00A4799A" w:rsidTr="00740020">
        <w:trPr>
          <w:trHeight w:val="395"/>
        </w:trPr>
        <w:tc>
          <w:tcPr>
            <w:tcW w:w="5231" w:type="dxa"/>
            <w:shd w:val="clear" w:color="auto" w:fill="D9D9D9" w:themeFill="background1" w:themeFillShade="D9"/>
          </w:tcPr>
          <w:p w:rsidR="00740020" w:rsidRPr="005E21F7"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Bankrotní podnik</w:t>
            </w:r>
          </w:p>
        </w:tc>
        <w:tc>
          <w:tcPr>
            <w:tcW w:w="2569" w:type="dxa"/>
            <w:shd w:val="clear" w:color="auto" w:fill="auto"/>
          </w:tcPr>
          <w:p w:rsidR="00740020" w:rsidRPr="00CC156C" w:rsidRDefault="00740020" w:rsidP="00740020">
            <w:pPr>
              <w:spacing w:after="0" w:line="240" w:lineRule="auto"/>
              <w:jc w:val="left"/>
              <w:rPr>
                <w:rFonts w:ascii="Arial" w:eastAsia="Times New Roman" w:hAnsi="Arial" w:cs="Arial"/>
                <w:color w:val="264A60"/>
                <w:sz w:val="18"/>
                <w:szCs w:val="18"/>
                <w:lang w:eastAsia="cs-CZ"/>
              </w:rPr>
            </w:pPr>
            <w:r w:rsidRPr="00CC156C">
              <w:rPr>
                <w:rFonts w:ascii="Arial" w:eastAsia="Times New Roman" w:hAnsi="Arial" w:cs="Arial"/>
                <w:color w:val="264A60"/>
                <w:sz w:val="18"/>
                <w:szCs w:val="18"/>
                <w:lang w:eastAsia="cs-CZ"/>
              </w:rPr>
              <w:t xml:space="preserve">IN05 </w:t>
            </w:r>
            <w:r w:rsidRPr="00CC156C">
              <w:rPr>
                <w:rFonts w:ascii="Cambria Math" w:eastAsia="Times New Roman" w:hAnsi="Cambria Math" w:cs="Cambria Math"/>
                <w:color w:val="264A60"/>
                <w:sz w:val="18"/>
                <w:szCs w:val="18"/>
                <w:lang w:eastAsia="cs-CZ"/>
              </w:rPr>
              <w:t>∈</w:t>
            </w:r>
            <w:r w:rsidRPr="00CC156C">
              <w:rPr>
                <w:rFonts w:ascii="Arial" w:eastAsia="Times New Roman" w:hAnsi="Arial" w:cs="Arial"/>
                <w:color w:val="264A60"/>
                <w:sz w:val="18"/>
                <w:szCs w:val="18"/>
                <w:lang w:eastAsia="cs-CZ"/>
              </w:rPr>
              <w:t xml:space="preserve"> (-</w:t>
            </w:r>
            <w:r w:rsidRPr="00CC156C">
              <w:rPr>
                <w:rFonts w:ascii="Arial" w:eastAsia="Times New Roman" w:hAnsi="Arial" w:cs="Arial" w:hint="eastAsia"/>
                <w:color w:val="264A60"/>
                <w:sz w:val="18"/>
                <w:szCs w:val="18"/>
                <w:lang w:eastAsia="cs-CZ"/>
              </w:rPr>
              <w:t>∞</w:t>
            </w:r>
            <w:r w:rsidRPr="00CC156C">
              <w:rPr>
                <w:rFonts w:ascii="Arial" w:eastAsia="Times New Roman" w:hAnsi="Arial" w:cs="Arial"/>
                <w:color w:val="264A60"/>
                <w:sz w:val="18"/>
                <w:szCs w:val="18"/>
                <w:lang w:eastAsia="cs-CZ"/>
              </w:rPr>
              <w:t xml:space="preserve"> ; 0,9&gt;</w:t>
            </w:r>
          </w:p>
        </w:tc>
      </w:tr>
    </w:tbl>
    <w:p w:rsidR="00740020" w:rsidRDefault="00740020" w:rsidP="00740020">
      <w:pPr>
        <w:pStyle w:val="Odstavecseseznamem"/>
        <w:jc w:val="left"/>
        <w:rPr>
          <w:i/>
        </w:rPr>
      </w:pPr>
      <w:r w:rsidRPr="00CC156C">
        <w:rPr>
          <w:i/>
        </w:rPr>
        <w:t>Zdroj: Vochozka (2011)</w:t>
      </w:r>
    </w:p>
    <w:p w:rsidR="00ED115D" w:rsidRPr="00CC156C" w:rsidRDefault="00ED115D" w:rsidP="00740020">
      <w:pPr>
        <w:pStyle w:val="Odstavecseseznamem"/>
        <w:jc w:val="left"/>
        <w:rPr>
          <w:i/>
        </w:rPr>
      </w:pPr>
    </w:p>
    <w:p w:rsidR="00740020" w:rsidRDefault="00740020" w:rsidP="007C1EE6">
      <w:pPr>
        <w:pStyle w:val="Odstavecseseznamem"/>
        <w:numPr>
          <w:ilvl w:val="0"/>
          <w:numId w:val="26"/>
        </w:numPr>
        <w:spacing w:after="200" w:line="360" w:lineRule="auto"/>
      </w:pPr>
      <w:r>
        <w:t>Altmanovo Z-skóre (Altman, 1968) ve variantě pro podniky, jejichž akcie nejsou obchodovány na kapitálovém trhu (Altman, 2006). Varianta pro české podniky (Kislingerová, 1996) v současnosti, kdy podniky nemají obzvláštní problémy s druhotnou platební neschopností, již není běžně využívána.</w:t>
      </w:r>
    </w:p>
    <w:p w:rsidR="00740020" w:rsidRDefault="00740020" w:rsidP="00740020">
      <w:pPr>
        <w:pStyle w:val="Odstavecseseznamem"/>
      </w:pPr>
    </w:p>
    <w:p w:rsidR="00740020" w:rsidRPr="00A35494" w:rsidRDefault="00740020" w:rsidP="00740020">
      <w:pPr>
        <w:pStyle w:val="Odstavecseseznamem"/>
        <w:ind w:left="360"/>
        <w:jc w:val="center"/>
        <w:rPr>
          <w:rFonts w:eastAsia="Times New Roman" w:cs="Times New Roman"/>
          <w:szCs w:val="20"/>
          <w:lang w:eastAsia="cs-CZ"/>
        </w:rPr>
      </w:pPr>
      <m:oMath>
        <m:r>
          <w:rPr>
            <w:rFonts w:ascii="Cambria Math" w:eastAsia="Times New Roman" w:cs="Times New Roman"/>
            <w:sz w:val="20"/>
            <w:szCs w:val="20"/>
            <w:lang w:eastAsia="cs-CZ"/>
          </w:rPr>
          <m:t>Z</m:t>
        </m:r>
        <m:r>
          <w:rPr>
            <w:rFonts w:ascii="Cambria Math" w:eastAsia="Times New Roman" w:cs="Times New Roman"/>
            <w:sz w:val="20"/>
            <w:szCs w:val="20"/>
            <w:lang w:eastAsia="cs-CZ"/>
          </w:rPr>
          <m:t>-</m:t>
        </m:r>
        <m:r>
          <w:rPr>
            <w:rFonts w:ascii="Cambria Math" w:eastAsia="Times New Roman" w:cs="Times New Roman"/>
            <w:sz w:val="20"/>
            <w:szCs w:val="20"/>
            <w:lang w:eastAsia="cs-CZ"/>
          </w:rPr>
          <m:t>Score=0,717</m:t>
        </m:r>
        <m:r>
          <w:rPr>
            <w:rFonts w:ascii="Cambria Math" w:eastAsia="Times New Roman" w:hAnsi="Cambria Math" w:cs="Times New Roman"/>
            <w:sz w:val="20"/>
            <w:szCs w:val="20"/>
            <w:lang w:eastAsia="cs-CZ"/>
          </w:rPr>
          <m:t>×</m:t>
        </m:r>
        <m:f>
          <m:fPr>
            <m:ctrlPr>
              <w:rPr>
                <w:rFonts w:ascii="Cambria Math" w:eastAsia="Times New Roman" w:hAnsi="Cambria Math" w:cs="Times New Roman"/>
                <w:i/>
                <w:sz w:val="20"/>
                <w:szCs w:val="20"/>
                <w:lang w:val="en-GB" w:eastAsia="cs-CZ"/>
              </w:rPr>
            </m:ctrlPr>
          </m:fPr>
          <m:num>
            <m:r>
              <w:rPr>
                <w:rFonts w:ascii="Cambria Math" w:eastAsia="Times New Roman" w:cs="Times New Roman"/>
                <w:sz w:val="20"/>
                <w:szCs w:val="20"/>
                <w:lang w:eastAsia="cs-CZ"/>
              </w:rPr>
              <m:t>NWC</m:t>
            </m:r>
          </m:num>
          <m:den>
            <m:r>
              <w:rPr>
                <w:rFonts w:ascii="Cambria Math" w:eastAsia="Times New Roman" w:cs="Times New Roman"/>
                <w:sz w:val="20"/>
                <w:szCs w:val="20"/>
                <w:lang w:eastAsia="cs-CZ"/>
              </w:rPr>
              <m:t>A</m:t>
            </m:r>
          </m:den>
        </m:f>
        <m:r>
          <w:rPr>
            <w:rFonts w:ascii="Cambria Math" w:eastAsia="Times New Roman" w:cs="Times New Roman"/>
            <w:sz w:val="20"/>
            <w:szCs w:val="20"/>
            <w:lang w:eastAsia="cs-CZ"/>
          </w:rPr>
          <m:t>+0,847</m:t>
        </m:r>
        <m:r>
          <w:rPr>
            <w:rFonts w:ascii="Cambria Math" w:eastAsia="Times New Roman" w:hAnsi="Cambria Math" w:cs="Times New Roman"/>
            <w:sz w:val="20"/>
            <w:szCs w:val="20"/>
            <w:lang w:eastAsia="cs-CZ"/>
          </w:rPr>
          <m:t>×</m:t>
        </m:r>
        <m:f>
          <m:fPr>
            <m:ctrlPr>
              <w:rPr>
                <w:rFonts w:ascii="Cambria Math" w:eastAsia="Times New Roman" w:hAnsi="Cambria Math" w:cs="Times New Roman"/>
                <w:i/>
                <w:sz w:val="20"/>
                <w:szCs w:val="20"/>
                <w:lang w:val="en-GB" w:eastAsia="cs-CZ"/>
              </w:rPr>
            </m:ctrlPr>
          </m:fPr>
          <m:num>
            <m:r>
              <w:rPr>
                <w:rFonts w:ascii="Cambria Math" w:eastAsia="Times New Roman" w:cs="Times New Roman"/>
                <w:sz w:val="20"/>
                <w:szCs w:val="20"/>
                <w:lang w:eastAsia="cs-CZ"/>
              </w:rPr>
              <m:t>RE</m:t>
            </m:r>
          </m:num>
          <m:den>
            <m:r>
              <w:rPr>
                <w:rFonts w:ascii="Cambria Math" w:eastAsia="Times New Roman" w:cs="Times New Roman"/>
                <w:sz w:val="20"/>
                <w:szCs w:val="20"/>
                <w:lang w:eastAsia="cs-CZ"/>
              </w:rPr>
              <m:t>A</m:t>
            </m:r>
          </m:den>
        </m:f>
        <m:r>
          <w:rPr>
            <w:rFonts w:ascii="Cambria Math" w:eastAsia="Times New Roman" w:cs="Times New Roman"/>
            <w:sz w:val="20"/>
            <w:szCs w:val="20"/>
            <w:lang w:eastAsia="cs-CZ"/>
          </w:rPr>
          <m:t>+3,107</m:t>
        </m:r>
        <m:r>
          <w:rPr>
            <w:rFonts w:ascii="Cambria Math" w:eastAsia="Times New Roman" w:hAnsi="Cambria Math" w:cs="Times New Roman"/>
            <w:sz w:val="20"/>
            <w:szCs w:val="20"/>
            <w:lang w:eastAsia="cs-CZ"/>
          </w:rPr>
          <m:t>×</m:t>
        </m:r>
        <m:f>
          <m:fPr>
            <m:ctrlPr>
              <w:rPr>
                <w:rFonts w:ascii="Cambria Math" w:eastAsia="Times New Roman" w:hAnsi="Cambria Math" w:cs="Times New Roman"/>
                <w:i/>
                <w:sz w:val="20"/>
                <w:szCs w:val="20"/>
                <w:lang w:val="en-GB" w:eastAsia="cs-CZ"/>
              </w:rPr>
            </m:ctrlPr>
          </m:fPr>
          <m:num>
            <m:r>
              <w:rPr>
                <w:rFonts w:ascii="Cambria Math" w:eastAsia="Times New Roman" w:cs="Times New Roman"/>
                <w:sz w:val="20"/>
                <w:szCs w:val="20"/>
                <w:lang w:eastAsia="cs-CZ"/>
              </w:rPr>
              <m:t>EBIT</m:t>
            </m:r>
          </m:num>
          <m:den>
            <m:r>
              <w:rPr>
                <w:rFonts w:ascii="Cambria Math" w:eastAsia="Times New Roman" w:cs="Times New Roman"/>
                <w:sz w:val="20"/>
                <w:szCs w:val="20"/>
                <w:lang w:eastAsia="cs-CZ"/>
              </w:rPr>
              <m:t>A</m:t>
            </m:r>
          </m:den>
        </m:f>
        <m:r>
          <w:rPr>
            <w:rFonts w:ascii="Cambria Math" w:eastAsia="Times New Roman" w:cs="Times New Roman"/>
            <w:sz w:val="20"/>
            <w:szCs w:val="20"/>
            <w:lang w:eastAsia="cs-CZ"/>
          </w:rPr>
          <m:t>+0,42</m:t>
        </m:r>
        <m:r>
          <w:rPr>
            <w:rFonts w:ascii="Cambria Math" w:eastAsia="Times New Roman" w:hAnsi="Cambria Math" w:cs="Times New Roman"/>
            <w:sz w:val="20"/>
            <w:szCs w:val="20"/>
            <w:lang w:eastAsia="cs-CZ"/>
          </w:rPr>
          <m:t>×</m:t>
        </m:r>
        <m:f>
          <m:fPr>
            <m:ctrlPr>
              <w:rPr>
                <w:rFonts w:ascii="Cambria Math" w:eastAsia="Times New Roman" w:hAnsi="Cambria Math" w:cs="Times New Roman"/>
                <w:i/>
                <w:sz w:val="20"/>
                <w:szCs w:val="20"/>
                <w:lang w:val="en-GB" w:eastAsia="cs-CZ"/>
              </w:rPr>
            </m:ctrlPr>
          </m:fPr>
          <m:num>
            <m:r>
              <w:rPr>
                <w:rFonts w:ascii="Cambria Math" w:eastAsia="Times New Roman" w:cs="Times New Roman"/>
                <w:sz w:val="20"/>
                <w:szCs w:val="20"/>
                <w:lang w:eastAsia="cs-CZ"/>
              </w:rPr>
              <m:t>VK</m:t>
            </m:r>
          </m:num>
          <m:den>
            <m:r>
              <w:rPr>
                <w:rFonts w:ascii="Cambria Math" w:eastAsia="Times New Roman" w:cs="Times New Roman"/>
                <w:sz w:val="20"/>
                <w:szCs w:val="20"/>
                <w:lang w:eastAsia="cs-CZ"/>
              </w:rPr>
              <m:t>CZ</m:t>
            </m:r>
          </m:den>
        </m:f>
        <m:r>
          <w:rPr>
            <w:rFonts w:ascii="Cambria Math" w:eastAsia="Times New Roman" w:cs="Times New Roman"/>
            <w:sz w:val="20"/>
            <w:szCs w:val="20"/>
            <w:lang w:eastAsia="cs-CZ"/>
          </w:rPr>
          <m:t>+0,998</m:t>
        </m:r>
        <m:r>
          <w:rPr>
            <w:rFonts w:ascii="Cambria Math" w:eastAsia="Times New Roman" w:hAnsi="Cambria Math" w:cs="Times New Roman"/>
            <w:sz w:val="20"/>
            <w:szCs w:val="20"/>
            <w:lang w:eastAsia="cs-CZ"/>
          </w:rPr>
          <m:t>×</m:t>
        </m:r>
        <m:f>
          <m:fPr>
            <m:ctrlPr>
              <w:rPr>
                <w:rFonts w:ascii="Cambria Math" w:eastAsia="Times New Roman" w:hAnsi="Cambria Math" w:cs="Times New Roman"/>
                <w:i/>
                <w:sz w:val="20"/>
                <w:szCs w:val="20"/>
                <w:lang w:val="en-GB" w:eastAsia="cs-CZ"/>
              </w:rPr>
            </m:ctrlPr>
          </m:fPr>
          <m:num>
            <m:r>
              <w:rPr>
                <w:rFonts w:ascii="Cambria Math" w:eastAsia="Times New Roman" w:cs="Times New Roman"/>
                <w:sz w:val="20"/>
                <w:szCs w:val="20"/>
                <w:lang w:eastAsia="cs-CZ"/>
              </w:rPr>
              <m:t>S</m:t>
            </m:r>
          </m:num>
          <m:den>
            <m:r>
              <w:rPr>
                <w:rFonts w:ascii="Cambria Math" w:eastAsia="Times New Roman" w:cs="Times New Roman"/>
                <w:sz w:val="20"/>
                <w:szCs w:val="20"/>
                <w:lang w:eastAsia="cs-CZ"/>
              </w:rPr>
              <m:t>A</m:t>
            </m:r>
          </m:den>
        </m:f>
      </m:oMath>
      <w:r w:rsidRPr="00A35494">
        <w:rPr>
          <w:rFonts w:eastAsia="Times New Roman" w:cs="Times New Roman"/>
          <w:szCs w:val="20"/>
          <w:lang w:eastAsia="cs-CZ"/>
        </w:rPr>
        <w:t xml:space="preserve">    </w:t>
      </w:r>
      <w:r>
        <w:rPr>
          <w:rFonts w:eastAsia="Times New Roman" w:cs="Times New Roman"/>
          <w:szCs w:val="20"/>
          <w:lang w:eastAsia="cs-CZ"/>
        </w:rPr>
        <w:t xml:space="preserve">    </w:t>
      </w:r>
      <w:r w:rsidRPr="00A35494">
        <w:rPr>
          <w:rFonts w:eastAsia="Times New Roman" w:cs="Times New Roman"/>
          <w:szCs w:val="20"/>
          <w:lang w:eastAsia="cs-CZ"/>
        </w:rPr>
        <w:t>(2),</w:t>
      </w:r>
    </w:p>
    <w:p w:rsidR="00ED115D" w:rsidRDefault="00ED115D" w:rsidP="00740020">
      <w:pPr>
        <w:pStyle w:val="Odstavecseseznamem"/>
        <w:jc w:val="left"/>
      </w:pPr>
    </w:p>
    <w:p w:rsidR="00740020" w:rsidRDefault="00740020" w:rsidP="00740020">
      <w:pPr>
        <w:pStyle w:val="Odstavecseseznamem"/>
        <w:jc w:val="left"/>
      </w:pPr>
      <w:r>
        <w:t>kde</w:t>
      </w:r>
    </w:p>
    <w:p w:rsidR="00740020" w:rsidRDefault="00740020" w:rsidP="00740020">
      <w:pPr>
        <w:pStyle w:val="Odstavecseseznamem"/>
        <w:jc w:val="left"/>
      </w:pPr>
      <w:r>
        <w:t>NWC = čistý pracovní kapitál</w:t>
      </w:r>
    </w:p>
    <w:p w:rsidR="00740020" w:rsidRDefault="00740020" w:rsidP="00740020">
      <w:pPr>
        <w:pStyle w:val="Odstavecseseznamem"/>
        <w:jc w:val="left"/>
      </w:pPr>
      <w:r>
        <w:t>A = celková aktiva</w:t>
      </w:r>
    </w:p>
    <w:p w:rsidR="00740020" w:rsidRDefault="00740020" w:rsidP="00740020">
      <w:pPr>
        <w:pStyle w:val="Odstavecseseznamem"/>
        <w:jc w:val="left"/>
      </w:pPr>
      <w:r>
        <w:t>RE = nerozdělený zisk</w:t>
      </w:r>
    </w:p>
    <w:p w:rsidR="00740020" w:rsidRDefault="00740020" w:rsidP="00740020">
      <w:pPr>
        <w:pStyle w:val="Odstavecseseznamem"/>
        <w:jc w:val="left"/>
      </w:pPr>
      <w:r>
        <w:t>EBIT = zisk před zdaněním a úroky</w:t>
      </w:r>
    </w:p>
    <w:p w:rsidR="00740020" w:rsidRDefault="00740020" w:rsidP="00740020">
      <w:pPr>
        <w:pStyle w:val="Odstavecseseznamem"/>
        <w:jc w:val="left"/>
      </w:pPr>
      <w:r>
        <w:t>VK= vlastní kapitál</w:t>
      </w:r>
    </w:p>
    <w:p w:rsidR="00740020" w:rsidRDefault="00740020" w:rsidP="00740020">
      <w:pPr>
        <w:pStyle w:val="Odstavecseseznamem"/>
        <w:jc w:val="left"/>
      </w:pPr>
      <w:r>
        <w:t>CZ = cizí kapitál</w:t>
      </w:r>
    </w:p>
    <w:p w:rsidR="00740020" w:rsidRDefault="00740020" w:rsidP="00740020">
      <w:pPr>
        <w:pStyle w:val="Odstavecseseznamem"/>
        <w:jc w:val="left"/>
      </w:pPr>
      <w:r>
        <w:t>S = tržby</w:t>
      </w:r>
    </w:p>
    <w:p w:rsidR="00ED115D" w:rsidRDefault="00ED115D" w:rsidP="00740020">
      <w:pPr>
        <w:pStyle w:val="Odstavecseseznamem"/>
        <w:jc w:val="left"/>
      </w:pPr>
    </w:p>
    <w:p w:rsidR="00740020" w:rsidRDefault="00740020" w:rsidP="00740020">
      <w:pPr>
        <w:pStyle w:val="Titulek"/>
      </w:pPr>
      <w:r>
        <w:tab/>
      </w:r>
      <w:bookmarkStart w:id="16" w:name="_Toc31054779"/>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3</w:t>
      </w:r>
      <w:r w:rsidR="00163A91">
        <w:rPr>
          <w:noProof/>
        </w:rPr>
        <w:fldChar w:fldCharType="end"/>
      </w:r>
      <w:r>
        <w:t xml:space="preserve"> – Hodnocení dle Z-skóre</w:t>
      </w:r>
      <w:bookmarkEnd w:id="16"/>
    </w:p>
    <w:tbl>
      <w:tblPr>
        <w:tblW w:w="7800"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3"/>
        <w:gridCol w:w="2427"/>
      </w:tblGrid>
      <w:tr w:rsidR="00740020" w:rsidRPr="00152D6F" w:rsidTr="00740020">
        <w:trPr>
          <w:trHeight w:val="367"/>
        </w:trPr>
        <w:tc>
          <w:tcPr>
            <w:tcW w:w="5373" w:type="dxa"/>
            <w:shd w:val="clear" w:color="auto" w:fill="D9D9D9" w:themeFill="background1" w:themeFillShade="D9"/>
          </w:tcPr>
          <w:p w:rsidR="00740020" w:rsidRPr="005E21F7" w:rsidRDefault="00740020" w:rsidP="00740020">
            <w:pPr>
              <w:spacing w:after="0" w:line="240" w:lineRule="auto"/>
              <w:jc w:val="left"/>
              <w:rPr>
                <w:rFonts w:ascii="Arial" w:eastAsia="Times New Roman" w:hAnsi="Arial" w:cs="Arial"/>
                <w:color w:val="264A60"/>
                <w:sz w:val="18"/>
                <w:szCs w:val="18"/>
                <w:lang w:eastAsia="cs-CZ"/>
              </w:rPr>
            </w:pPr>
          </w:p>
        </w:tc>
        <w:tc>
          <w:tcPr>
            <w:tcW w:w="2427" w:type="dxa"/>
            <w:shd w:val="clear" w:color="auto" w:fill="auto"/>
          </w:tcPr>
          <w:p w:rsidR="00740020" w:rsidRPr="005E21F7" w:rsidRDefault="00740020" w:rsidP="00740020">
            <w:pPr>
              <w:spacing w:after="0" w:line="240" w:lineRule="auto"/>
              <w:jc w:val="left"/>
              <w:rPr>
                <w:rFonts w:ascii="Arial" w:eastAsia="Times New Roman" w:hAnsi="Arial" w:cs="Arial"/>
                <w:color w:val="010205"/>
                <w:sz w:val="18"/>
                <w:szCs w:val="18"/>
                <w:lang w:eastAsia="cs-CZ"/>
              </w:rPr>
            </w:pPr>
            <w:r>
              <w:rPr>
                <w:rFonts w:ascii="Arial" w:eastAsia="Times New Roman" w:hAnsi="Arial" w:cs="Arial"/>
                <w:color w:val="010205"/>
                <w:sz w:val="18"/>
                <w:szCs w:val="18"/>
                <w:lang w:eastAsia="cs-CZ"/>
              </w:rPr>
              <w:t>Hodnota Z-skóre</w:t>
            </w:r>
          </w:p>
        </w:tc>
      </w:tr>
      <w:tr w:rsidR="00740020" w:rsidRPr="00152D6F" w:rsidTr="00740020">
        <w:trPr>
          <w:trHeight w:val="395"/>
        </w:trPr>
        <w:tc>
          <w:tcPr>
            <w:tcW w:w="5373" w:type="dxa"/>
            <w:shd w:val="clear" w:color="auto" w:fill="D9D9D9" w:themeFill="background1" w:themeFillShade="D9"/>
          </w:tcPr>
          <w:p w:rsidR="00740020" w:rsidRPr="005E21F7"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Bonitní podnik</w:t>
            </w:r>
          </w:p>
        </w:tc>
        <w:tc>
          <w:tcPr>
            <w:tcW w:w="2427" w:type="dxa"/>
            <w:shd w:val="clear" w:color="auto" w:fill="auto"/>
          </w:tcPr>
          <w:p w:rsidR="00740020" w:rsidRPr="005E21F7" w:rsidRDefault="00740020" w:rsidP="00740020">
            <w:pPr>
              <w:spacing w:after="0" w:line="240" w:lineRule="auto"/>
              <w:jc w:val="left"/>
              <w:rPr>
                <w:rFonts w:ascii="Arial" w:eastAsia="Times New Roman" w:hAnsi="Arial" w:cs="Arial"/>
                <w:color w:val="010205"/>
                <w:sz w:val="18"/>
                <w:szCs w:val="18"/>
                <w:lang w:eastAsia="cs-CZ"/>
              </w:rPr>
            </w:pPr>
            <w:r w:rsidRPr="004D2EDB">
              <w:rPr>
                <w:rFonts w:ascii="Arial" w:eastAsia="Times New Roman" w:hAnsi="Arial" w:cs="Arial"/>
                <w:color w:val="010205"/>
                <w:sz w:val="18"/>
                <w:szCs w:val="18"/>
                <w:lang w:eastAsia="cs-CZ"/>
              </w:rPr>
              <w:t xml:space="preserve">IN05 </w:t>
            </w:r>
            <w:r w:rsidRPr="004D2EDB">
              <w:rPr>
                <w:rFonts w:ascii="Cambria Math" w:eastAsia="Cambria Math" w:hAnsi="Cambria Math" w:cs="Cambria Math"/>
                <w:color w:val="010205"/>
                <w:sz w:val="18"/>
                <w:szCs w:val="18"/>
                <w:lang w:val="en-US" w:eastAsia="ja-JP"/>
              </w:rPr>
              <w:t>∈</w:t>
            </w:r>
            <w:r w:rsidRPr="004D2EDB">
              <w:rPr>
                <w:rFonts w:ascii="Arial" w:hAnsi="Arial" w:cs="Arial"/>
                <w:color w:val="010205"/>
                <w:sz w:val="18"/>
                <w:szCs w:val="18"/>
                <w:lang w:val="en-US" w:eastAsia="ja-JP"/>
              </w:rPr>
              <w:t xml:space="preserve"> &lt;</w:t>
            </w:r>
            <w:proofErr w:type="gramStart"/>
            <w:r>
              <w:rPr>
                <w:rFonts w:ascii="Arial" w:hAnsi="Arial" w:cs="Arial"/>
                <w:color w:val="010205"/>
                <w:sz w:val="18"/>
                <w:szCs w:val="18"/>
                <w:lang w:eastAsia="ja-JP"/>
              </w:rPr>
              <w:t>2,9</w:t>
            </w:r>
            <w:r w:rsidRPr="004D2EDB">
              <w:rPr>
                <w:rFonts w:ascii="Arial" w:hAnsi="Arial" w:cs="Arial"/>
                <w:color w:val="010205"/>
                <w:sz w:val="18"/>
                <w:szCs w:val="18"/>
                <w:lang w:eastAsia="ja-JP"/>
              </w:rPr>
              <w:t xml:space="preserve"> </w:t>
            </w:r>
            <w:r w:rsidRPr="004D2EDB">
              <w:rPr>
                <w:rFonts w:ascii="Arial" w:hAnsi="Arial" w:cs="Arial"/>
                <w:color w:val="010205"/>
                <w:sz w:val="18"/>
                <w:szCs w:val="18"/>
                <w:lang w:val="en-US" w:eastAsia="ja-JP"/>
              </w:rPr>
              <w:t xml:space="preserve">; </w:t>
            </w:r>
            <w:r w:rsidRPr="004D2EDB">
              <w:rPr>
                <w:rFonts w:ascii="Arial" w:hAnsi="Arial" w:cs="Arial"/>
                <w:color w:val="010205"/>
                <w:sz w:val="18"/>
                <w:szCs w:val="18"/>
                <w:lang w:eastAsia="ja-JP"/>
              </w:rPr>
              <w:t>∞)</w:t>
            </w:r>
            <w:proofErr w:type="gramEnd"/>
          </w:p>
        </w:tc>
      </w:tr>
      <w:tr w:rsidR="00740020" w:rsidRPr="00152D6F" w:rsidTr="00740020">
        <w:trPr>
          <w:trHeight w:val="367"/>
        </w:trPr>
        <w:tc>
          <w:tcPr>
            <w:tcW w:w="5373" w:type="dxa"/>
            <w:shd w:val="clear" w:color="auto" w:fill="D9D9D9" w:themeFill="background1" w:themeFillShade="D9"/>
          </w:tcPr>
          <w:p w:rsidR="00740020" w:rsidRPr="005E21F7"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Šedá zóna</w:t>
            </w:r>
          </w:p>
        </w:tc>
        <w:tc>
          <w:tcPr>
            <w:tcW w:w="2427" w:type="dxa"/>
            <w:shd w:val="clear" w:color="auto" w:fill="auto"/>
          </w:tcPr>
          <w:p w:rsidR="00740020" w:rsidRPr="005E21F7" w:rsidRDefault="00740020" w:rsidP="00740020">
            <w:pPr>
              <w:spacing w:after="0" w:line="240" w:lineRule="auto"/>
              <w:jc w:val="left"/>
              <w:rPr>
                <w:rFonts w:ascii="Arial" w:eastAsia="Times New Roman" w:hAnsi="Arial" w:cs="Arial"/>
                <w:color w:val="010205"/>
                <w:sz w:val="18"/>
                <w:szCs w:val="18"/>
                <w:lang w:eastAsia="cs-CZ"/>
              </w:rPr>
            </w:pPr>
            <w:r w:rsidRPr="004D2EDB">
              <w:rPr>
                <w:rFonts w:ascii="Arial" w:eastAsia="Times New Roman" w:hAnsi="Arial" w:cs="Arial"/>
                <w:color w:val="010205"/>
                <w:sz w:val="18"/>
                <w:szCs w:val="18"/>
                <w:lang w:eastAsia="cs-CZ"/>
              </w:rPr>
              <w:t xml:space="preserve">IN05 </w:t>
            </w:r>
            <w:r w:rsidRPr="004D2EDB">
              <w:rPr>
                <w:rFonts w:ascii="Cambria Math" w:eastAsia="Cambria Math" w:hAnsi="Cambria Math" w:cs="Cambria Math"/>
                <w:color w:val="010205"/>
                <w:sz w:val="18"/>
                <w:szCs w:val="18"/>
                <w:lang w:eastAsia="ja-JP"/>
              </w:rPr>
              <w:t>∈</w:t>
            </w:r>
            <w:r w:rsidRPr="004D2EDB">
              <w:rPr>
                <w:rFonts w:ascii="Arial" w:hAnsi="Arial" w:cs="Arial"/>
                <w:color w:val="010205"/>
                <w:sz w:val="18"/>
                <w:szCs w:val="18"/>
                <w:lang w:eastAsia="ja-JP"/>
              </w:rPr>
              <w:t xml:space="preserve"> </w:t>
            </w:r>
            <w:r>
              <w:rPr>
                <w:rFonts w:ascii="Arial" w:hAnsi="Arial" w:cs="Arial"/>
                <w:color w:val="010205"/>
                <w:sz w:val="18"/>
                <w:szCs w:val="18"/>
                <w:lang w:eastAsia="ja-JP"/>
              </w:rPr>
              <w:t>(</w:t>
            </w:r>
            <w:proofErr w:type="gramStart"/>
            <w:r>
              <w:rPr>
                <w:rFonts w:ascii="Arial" w:hAnsi="Arial" w:cs="Arial"/>
                <w:color w:val="010205"/>
                <w:sz w:val="18"/>
                <w:szCs w:val="18"/>
                <w:lang w:eastAsia="ja-JP"/>
              </w:rPr>
              <w:t>1,23</w:t>
            </w:r>
            <w:r w:rsidRPr="004D2EDB">
              <w:rPr>
                <w:rFonts w:ascii="Arial" w:hAnsi="Arial" w:cs="Arial"/>
                <w:color w:val="010205"/>
                <w:sz w:val="18"/>
                <w:szCs w:val="18"/>
                <w:lang w:eastAsia="ja-JP"/>
              </w:rPr>
              <w:t xml:space="preserve"> </w:t>
            </w:r>
            <w:r w:rsidRPr="004D2EDB">
              <w:rPr>
                <w:rFonts w:ascii="Arial" w:hAnsi="Arial" w:cs="Arial"/>
                <w:color w:val="010205"/>
                <w:sz w:val="18"/>
                <w:szCs w:val="18"/>
                <w:lang w:val="en-US" w:eastAsia="ja-JP"/>
              </w:rPr>
              <w:t>;</w:t>
            </w:r>
            <w:r w:rsidRPr="004D2EDB">
              <w:rPr>
                <w:rFonts w:ascii="Arial" w:hAnsi="Arial" w:cs="Arial"/>
                <w:color w:val="010205"/>
                <w:sz w:val="18"/>
                <w:szCs w:val="18"/>
                <w:lang w:eastAsia="ja-JP"/>
              </w:rPr>
              <w:t xml:space="preserve"> </w:t>
            </w:r>
            <w:r>
              <w:rPr>
                <w:rFonts w:ascii="Arial" w:hAnsi="Arial" w:cs="Arial"/>
                <w:color w:val="010205"/>
                <w:sz w:val="18"/>
                <w:szCs w:val="18"/>
                <w:lang w:eastAsia="ja-JP"/>
              </w:rPr>
              <w:t>2,9</w:t>
            </w:r>
            <w:proofErr w:type="gramEnd"/>
            <w:r w:rsidRPr="004D2EDB">
              <w:rPr>
                <w:rFonts w:ascii="Arial" w:hAnsi="Arial" w:cs="Arial"/>
                <w:color w:val="010205"/>
                <w:sz w:val="18"/>
                <w:szCs w:val="18"/>
                <w:lang w:eastAsia="ja-JP"/>
              </w:rPr>
              <w:t>)</w:t>
            </w:r>
          </w:p>
        </w:tc>
      </w:tr>
      <w:tr w:rsidR="00740020" w:rsidRPr="00152D6F" w:rsidTr="00740020">
        <w:trPr>
          <w:trHeight w:val="395"/>
        </w:trPr>
        <w:tc>
          <w:tcPr>
            <w:tcW w:w="5373" w:type="dxa"/>
            <w:shd w:val="clear" w:color="auto" w:fill="D9D9D9" w:themeFill="background1" w:themeFillShade="D9"/>
          </w:tcPr>
          <w:p w:rsidR="00740020" w:rsidRPr="005E21F7"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Bankrotní podnik</w:t>
            </w:r>
          </w:p>
        </w:tc>
        <w:tc>
          <w:tcPr>
            <w:tcW w:w="2427" w:type="dxa"/>
            <w:shd w:val="clear" w:color="auto" w:fill="auto"/>
          </w:tcPr>
          <w:p w:rsidR="00740020" w:rsidRPr="005E21F7" w:rsidRDefault="00740020" w:rsidP="00740020">
            <w:pPr>
              <w:spacing w:after="0" w:line="240" w:lineRule="auto"/>
              <w:jc w:val="left"/>
              <w:rPr>
                <w:rFonts w:ascii="Arial" w:eastAsia="Times New Roman" w:hAnsi="Arial" w:cs="Arial"/>
                <w:color w:val="010205"/>
                <w:sz w:val="18"/>
                <w:szCs w:val="18"/>
                <w:lang w:eastAsia="cs-CZ"/>
              </w:rPr>
            </w:pPr>
            <w:r w:rsidRPr="004D2EDB">
              <w:rPr>
                <w:rFonts w:ascii="Arial" w:eastAsia="Times New Roman" w:hAnsi="Arial" w:cs="Arial"/>
                <w:color w:val="010205"/>
                <w:sz w:val="18"/>
                <w:szCs w:val="18"/>
                <w:lang w:eastAsia="cs-CZ"/>
              </w:rPr>
              <w:t xml:space="preserve">IN05 </w:t>
            </w:r>
            <w:r w:rsidRPr="004D2EDB">
              <w:rPr>
                <w:rFonts w:ascii="Cambria Math" w:eastAsia="Cambria Math" w:hAnsi="Cambria Math" w:cs="Cambria Math"/>
                <w:color w:val="010205"/>
                <w:sz w:val="18"/>
                <w:szCs w:val="18"/>
                <w:lang w:eastAsia="ja-JP"/>
              </w:rPr>
              <w:t>∈</w:t>
            </w:r>
            <w:r w:rsidRPr="004D2EDB">
              <w:rPr>
                <w:rFonts w:ascii="Arial" w:hAnsi="Arial" w:cs="Arial"/>
                <w:color w:val="010205"/>
                <w:sz w:val="18"/>
                <w:szCs w:val="18"/>
                <w:lang w:eastAsia="ja-JP"/>
              </w:rPr>
              <w:t xml:space="preserve"> (-∞ </w:t>
            </w:r>
            <w:r w:rsidRPr="004D2EDB">
              <w:rPr>
                <w:rFonts w:ascii="Arial" w:hAnsi="Arial" w:cs="Arial"/>
                <w:color w:val="010205"/>
                <w:sz w:val="18"/>
                <w:szCs w:val="18"/>
                <w:lang w:val="en-US" w:eastAsia="ja-JP"/>
              </w:rPr>
              <w:t>;</w:t>
            </w:r>
            <w:r w:rsidRPr="004D2EDB">
              <w:rPr>
                <w:rFonts w:ascii="Arial" w:hAnsi="Arial" w:cs="Arial"/>
                <w:color w:val="010205"/>
                <w:sz w:val="18"/>
                <w:szCs w:val="18"/>
                <w:lang w:eastAsia="ja-JP"/>
              </w:rPr>
              <w:t xml:space="preserve"> </w:t>
            </w:r>
            <w:r>
              <w:rPr>
                <w:rFonts w:ascii="Arial" w:hAnsi="Arial" w:cs="Arial"/>
                <w:color w:val="010205"/>
                <w:sz w:val="18"/>
                <w:szCs w:val="18"/>
                <w:lang w:eastAsia="ja-JP"/>
              </w:rPr>
              <w:t>1,23</w:t>
            </w:r>
            <w:r w:rsidRPr="004D2EDB">
              <w:rPr>
                <w:rFonts w:ascii="Arial" w:hAnsi="Arial" w:cs="Arial"/>
                <w:color w:val="010205"/>
                <w:sz w:val="18"/>
                <w:szCs w:val="18"/>
                <w:lang w:eastAsia="ja-JP"/>
              </w:rPr>
              <w:t>&gt;</w:t>
            </w:r>
          </w:p>
        </w:tc>
      </w:tr>
    </w:tbl>
    <w:p w:rsidR="00740020" w:rsidRDefault="00740020" w:rsidP="00740020">
      <w:pPr>
        <w:pStyle w:val="Odstavecseseznamem"/>
        <w:jc w:val="left"/>
        <w:rPr>
          <w:i/>
        </w:rPr>
      </w:pPr>
      <w:r w:rsidRPr="004D2EDB">
        <w:rPr>
          <w:i/>
        </w:rPr>
        <w:t>Zdroj: Vochozka (2011)</w:t>
      </w:r>
    </w:p>
    <w:p w:rsidR="00ED115D" w:rsidRPr="004D2EDB" w:rsidRDefault="00ED115D" w:rsidP="00740020">
      <w:pPr>
        <w:pStyle w:val="Odstavecseseznamem"/>
        <w:jc w:val="left"/>
        <w:rPr>
          <w:i/>
        </w:rPr>
      </w:pPr>
    </w:p>
    <w:p w:rsidR="00740020" w:rsidRDefault="00740020" w:rsidP="007C1EE6">
      <w:pPr>
        <w:pStyle w:val="Odstavecseseznamem"/>
        <w:numPr>
          <w:ilvl w:val="0"/>
          <w:numId w:val="26"/>
        </w:numPr>
        <w:spacing w:after="200" w:line="360" w:lineRule="auto"/>
      </w:pPr>
      <w:r>
        <w:t>Kralickův rychlý test (Kralicek, 2007). Kralickův rychlý test je založen na rychlém posouzení finanční stability a výkonnosti podniku a jeho výsledky jsou přehledně interpretovatelné. Kralicek vybral čtyři ukazatele, podle jejichž dosažených hodnot jsou analyzovanému podniku přiděleny body, resp. známky. Výsledné hodnocení představuje aritmetický průměr známek za jednotlivé ukazatele.</w:t>
      </w:r>
    </w:p>
    <w:p w:rsidR="00740020" w:rsidRDefault="00740020" w:rsidP="00740020">
      <w:pPr>
        <w:pStyle w:val="Titulek"/>
        <w:ind w:firstLine="708"/>
      </w:pPr>
      <w:bookmarkStart w:id="17" w:name="_Toc31054780"/>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4</w:t>
      </w:r>
      <w:r w:rsidR="00163A91">
        <w:rPr>
          <w:noProof/>
        </w:rPr>
        <w:fldChar w:fldCharType="end"/>
      </w:r>
      <w:r>
        <w:t xml:space="preserve"> – Hodnocení dle Kralickova rychlého testu</w:t>
      </w:r>
      <w:bookmarkEnd w:id="17"/>
    </w:p>
    <w:tbl>
      <w:tblPr>
        <w:tblW w:w="77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7"/>
        <w:gridCol w:w="938"/>
        <w:gridCol w:w="903"/>
        <w:gridCol w:w="903"/>
        <w:gridCol w:w="880"/>
        <w:gridCol w:w="1156"/>
      </w:tblGrid>
      <w:tr w:rsidR="00740020" w:rsidRPr="00152D6F" w:rsidTr="00740020">
        <w:trPr>
          <w:trHeight w:val="399"/>
          <w:jc w:val="right"/>
        </w:trPr>
        <w:tc>
          <w:tcPr>
            <w:tcW w:w="3017" w:type="dxa"/>
            <w:shd w:val="clear" w:color="auto" w:fill="D9D9D9" w:themeFill="background1" w:themeFillShade="D9"/>
          </w:tcPr>
          <w:p w:rsidR="00740020" w:rsidRPr="005E21F7"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Ukazatel / Hodnocení</w:t>
            </w:r>
          </w:p>
        </w:tc>
        <w:tc>
          <w:tcPr>
            <w:tcW w:w="0" w:type="auto"/>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1</w:t>
            </w:r>
          </w:p>
        </w:tc>
        <w:tc>
          <w:tcPr>
            <w:tcW w:w="0" w:type="auto"/>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2</w:t>
            </w:r>
          </w:p>
        </w:tc>
        <w:tc>
          <w:tcPr>
            <w:tcW w:w="0" w:type="auto"/>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3</w:t>
            </w:r>
          </w:p>
        </w:tc>
        <w:tc>
          <w:tcPr>
            <w:tcW w:w="0" w:type="auto"/>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4</w:t>
            </w:r>
          </w:p>
        </w:tc>
        <w:tc>
          <w:tcPr>
            <w:tcW w:w="1156" w:type="dxa"/>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5</w:t>
            </w:r>
          </w:p>
        </w:tc>
      </w:tr>
      <w:tr w:rsidR="00740020" w:rsidRPr="00152D6F" w:rsidTr="00740020">
        <w:trPr>
          <w:trHeight w:val="430"/>
          <w:jc w:val="right"/>
        </w:trPr>
        <w:tc>
          <w:tcPr>
            <w:tcW w:w="3017" w:type="dxa"/>
            <w:shd w:val="clear" w:color="auto" w:fill="D9D9D9" w:themeFill="background1" w:themeFillShade="D9"/>
          </w:tcPr>
          <w:p w:rsidR="00740020" w:rsidRPr="005E21F7"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Kvóta vlastního kapitálu</w:t>
            </w:r>
          </w:p>
        </w:tc>
        <w:tc>
          <w:tcPr>
            <w:tcW w:w="0" w:type="auto"/>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&gt;30 %</w:t>
            </w:r>
          </w:p>
        </w:tc>
        <w:tc>
          <w:tcPr>
            <w:tcW w:w="0" w:type="auto"/>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&gt; 20 %</w:t>
            </w:r>
          </w:p>
        </w:tc>
        <w:tc>
          <w:tcPr>
            <w:tcW w:w="0" w:type="auto"/>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&gt; 10 %</w:t>
            </w:r>
          </w:p>
        </w:tc>
        <w:tc>
          <w:tcPr>
            <w:tcW w:w="0" w:type="auto"/>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&lt;10 %</w:t>
            </w:r>
          </w:p>
        </w:tc>
        <w:tc>
          <w:tcPr>
            <w:tcW w:w="1156" w:type="dxa"/>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Pr>
                <w:rFonts w:ascii="Arial" w:eastAsia="Times New Roman" w:hAnsi="Arial" w:cs="Arial"/>
                <w:color w:val="010205"/>
                <w:sz w:val="18"/>
                <w:szCs w:val="18"/>
                <w:lang w:eastAsia="cs-CZ"/>
              </w:rPr>
              <w:t>negativní</w:t>
            </w:r>
          </w:p>
        </w:tc>
      </w:tr>
      <w:tr w:rsidR="00740020" w:rsidRPr="00152D6F" w:rsidTr="00740020">
        <w:trPr>
          <w:trHeight w:val="399"/>
          <w:jc w:val="right"/>
        </w:trPr>
        <w:tc>
          <w:tcPr>
            <w:tcW w:w="3017" w:type="dxa"/>
            <w:shd w:val="clear" w:color="auto" w:fill="D9D9D9" w:themeFill="background1" w:themeFillShade="D9"/>
          </w:tcPr>
          <w:p w:rsidR="00740020" w:rsidRPr="005E21F7"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Doba splácení dluhu</w:t>
            </w:r>
          </w:p>
        </w:tc>
        <w:tc>
          <w:tcPr>
            <w:tcW w:w="0" w:type="auto"/>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 xml:space="preserve">&lt;3 </w:t>
            </w:r>
            <w:r>
              <w:rPr>
                <w:rFonts w:ascii="Arial" w:eastAsia="Times New Roman" w:hAnsi="Arial" w:cs="Arial"/>
                <w:color w:val="010205"/>
                <w:sz w:val="18"/>
                <w:szCs w:val="18"/>
                <w:lang w:eastAsia="cs-CZ"/>
              </w:rPr>
              <w:t>roky</w:t>
            </w:r>
          </w:p>
        </w:tc>
        <w:tc>
          <w:tcPr>
            <w:tcW w:w="0" w:type="auto"/>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 xml:space="preserve">&lt;5 </w:t>
            </w:r>
            <w:r>
              <w:rPr>
                <w:rFonts w:ascii="Arial" w:eastAsia="Times New Roman" w:hAnsi="Arial" w:cs="Arial"/>
                <w:color w:val="010205"/>
                <w:sz w:val="18"/>
                <w:szCs w:val="18"/>
                <w:lang w:eastAsia="cs-CZ"/>
              </w:rPr>
              <w:t>let</w:t>
            </w:r>
          </w:p>
        </w:tc>
        <w:tc>
          <w:tcPr>
            <w:tcW w:w="0" w:type="auto"/>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 xml:space="preserve">&lt;12 </w:t>
            </w:r>
            <w:r>
              <w:rPr>
                <w:rFonts w:ascii="Arial" w:eastAsia="Times New Roman" w:hAnsi="Arial" w:cs="Arial"/>
                <w:color w:val="010205"/>
                <w:sz w:val="18"/>
                <w:szCs w:val="18"/>
                <w:lang w:eastAsia="cs-CZ"/>
              </w:rPr>
              <w:t>let</w:t>
            </w:r>
          </w:p>
        </w:tc>
        <w:tc>
          <w:tcPr>
            <w:tcW w:w="0" w:type="auto"/>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 xml:space="preserve">&lt;30 </w:t>
            </w:r>
            <w:r>
              <w:rPr>
                <w:rFonts w:ascii="Arial" w:eastAsia="Times New Roman" w:hAnsi="Arial" w:cs="Arial"/>
                <w:color w:val="010205"/>
                <w:sz w:val="18"/>
                <w:szCs w:val="18"/>
                <w:lang w:eastAsia="cs-CZ"/>
              </w:rPr>
              <w:t>let</w:t>
            </w:r>
          </w:p>
        </w:tc>
        <w:tc>
          <w:tcPr>
            <w:tcW w:w="1156" w:type="dxa"/>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 xml:space="preserve">&gt;30 </w:t>
            </w:r>
            <w:r>
              <w:rPr>
                <w:rFonts w:ascii="Arial" w:eastAsia="Times New Roman" w:hAnsi="Arial" w:cs="Arial"/>
                <w:color w:val="010205"/>
                <w:sz w:val="18"/>
                <w:szCs w:val="18"/>
                <w:lang w:eastAsia="cs-CZ"/>
              </w:rPr>
              <w:t>let</w:t>
            </w:r>
          </w:p>
        </w:tc>
      </w:tr>
      <w:tr w:rsidR="00740020" w:rsidRPr="00152D6F" w:rsidTr="00740020">
        <w:trPr>
          <w:trHeight w:val="430"/>
          <w:jc w:val="right"/>
        </w:trPr>
        <w:tc>
          <w:tcPr>
            <w:tcW w:w="3017" w:type="dxa"/>
            <w:shd w:val="clear" w:color="auto" w:fill="D9D9D9" w:themeFill="background1" w:themeFillShade="D9"/>
          </w:tcPr>
          <w:p w:rsidR="00740020" w:rsidRPr="005E21F7"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Rentabilita aktiv (</w:t>
            </w:r>
            <w:r w:rsidRPr="005E21F7">
              <w:rPr>
                <w:rFonts w:ascii="Arial" w:eastAsia="Times New Roman" w:hAnsi="Arial" w:cs="Arial"/>
                <w:color w:val="264A60"/>
                <w:sz w:val="18"/>
                <w:szCs w:val="18"/>
                <w:lang w:eastAsia="cs-CZ"/>
              </w:rPr>
              <w:t>ROA</w:t>
            </w:r>
            <w:r>
              <w:rPr>
                <w:rFonts w:ascii="Arial" w:eastAsia="Times New Roman" w:hAnsi="Arial" w:cs="Arial"/>
                <w:color w:val="264A60"/>
                <w:sz w:val="18"/>
                <w:szCs w:val="18"/>
                <w:lang w:eastAsia="cs-CZ"/>
              </w:rPr>
              <w:t>)</w:t>
            </w:r>
          </w:p>
        </w:tc>
        <w:tc>
          <w:tcPr>
            <w:tcW w:w="0" w:type="auto"/>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&gt; 15 %</w:t>
            </w:r>
          </w:p>
        </w:tc>
        <w:tc>
          <w:tcPr>
            <w:tcW w:w="0" w:type="auto"/>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&gt;12 %</w:t>
            </w:r>
          </w:p>
        </w:tc>
        <w:tc>
          <w:tcPr>
            <w:tcW w:w="0" w:type="auto"/>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&gt;8 %</w:t>
            </w:r>
          </w:p>
        </w:tc>
        <w:tc>
          <w:tcPr>
            <w:tcW w:w="0" w:type="auto"/>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&lt;8 %</w:t>
            </w:r>
          </w:p>
        </w:tc>
        <w:tc>
          <w:tcPr>
            <w:tcW w:w="1156" w:type="dxa"/>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Pr>
                <w:rFonts w:ascii="Arial" w:eastAsia="Times New Roman" w:hAnsi="Arial" w:cs="Arial"/>
                <w:color w:val="010205"/>
                <w:sz w:val="18"/>
                <w:szCs w:val="18"/>
                <w:lang w:eastAsia="cs-CZ"/>
              </w:rPr>
              <w:t>negativní</w:t>
            </w:r>
          </w:p>
        </w:tc>
      </w:tr>
      <w:tr w:rsidR="00740020" w:rsidRPr="00152D6F" w:rsidTr="00740020">
        <w:trPr>
          <w:trHeight w:val="399"/>
          <w:jc w:val="right"/>
        </w:trPr>
        <w:tc>
          <w:tcPr>
            <w:tcW w:w="3017" w:type="dxa"/>
            <w:shd w:val="clear" w:color="auto" w:fill="D9D9D9" w:themeFill="background1" w:themeFillShade="D9"/>
          </w:tcPr>
          <w:p w:rsidR="00740020" w:rsidRPr="005E21F7"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Cash flow v tržbách</w:t>
            </w:r>
          </w:p>
        </w:tc>
        <w:tc>
          <w:tcPr>
            <w:tcW w:w="0" w:type="auto"/>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&gt;10 %</w:t>
            </w:r>
          </w:p>
        </w:tc>
        <w:tc>
          <w:tcPr>
            <w:tcW w:w="0" w:type="auto"/>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&gt;8 %</w:t>
            </w:r>
          </w:p>
        </w:tc>
        <w:tc>
          <w:tcPr>
            <w:tcW w:w="0" w:type="auto"/>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&gt;5 %</w:t>
            </w:r>
          </w:p>
        </w:tc>
        <w:tc>
          <w:tcPr>
            <w:tcW w:w="0" w:type="auto"/>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sidRPr="005E21F7">
              <w:rPr>
                <w:rFonts w:ascii="Arial" w:eastAsia="Times New Roman" w:hAnsi="Arial" w:cs="Arial"/>
                <w:color w:val="010205"/>
                <w:sz w:val="18"/>
                <w:szCs w:val="18"/>
                <w:lang w:eastAsia="cs-CZ"/>
              </w:rPr>
              <w:t>&lt;5 %</w:t>
            </w:r>
          </w:p>
        </w:tc>
        <w:tc>
          <w:tcPr>
            <w:tcW w:w="1156" w:type="dxa"/>
            <w:shd w:val="clear" w:color="auto" w:fill="auto"/>
          </w:tcPr>
          <w:p w:rsidR="00740020" w:rsidRPr="005E21F7" w:rsidRDefault="00740020" w:rsidP="00740020">
            <w:pPr>
              <w:spacing w:after="0" w:line="240" w:lineRule="auto"/>
              <w:jc w:val="right"/>
              <w:rPr>
                <w:rFonts w:ascii="Arial" w:eastAsia="Times New Roman" w:hAnsi="Arial" w:cs="Arial"/>
                <w:color w:val="010205"/>
                <w:sz w:val="18"/>
                <w:szCs w:val="18"/>
                <w:lang w:eastAsia="cs-CZ"/>
              </w:rPr>
            </w:pPr>
            <w:r>
              <w:rPr>
                <w:rFonts w:ascii="Arial" w:eastAsia="Times New Roman" w:hAnsi="Arial" w:cs="Arial"/>
                <w:color w:val="010205"/>
                <w:sz w:val="18"/>
                <w:szCs w:val="18"/>
                <w:lang w:eastAsia="cs-CZ"/>
              </w:rPr>
              <w:t>negativní</w:t>
            </w:r>
          </w:p>
        </w:tc>
      </w:tr>
    </w:tbl>
    <w:p w:rsidR="00740020" w:rsidRPr="00CF2403" w:rsidRDefault="00740020" w:rsidP="00740020">
      <w:pPr>
        <w:pStyle w:val="Bezmezer"/>
        <w:ind w:firstLine="708"/>
      </w:pPr>
      <w:r w:rsidRPr="00CF2403">
        <w:t>Zdroj: vlastní zpracování</w:t>
      </w:r>
      <w:r>
        <w:t xml:space="preserve"> dle Kralicek (2007)</w:t>
      </w:r>
    </w:p>
    <w:p w:rsidR="00ED115D" w:rsidRDefault="00ED115D" w:rsidP="00740020"/>
    <w:p w:rsidR="00740020" w:rsidRDefault="00740020" w:rsidP="00740020">
      <w:r>
        <w:t>Výše uvedené poměrové a syntetické ukazatele jsou hlavními proměnnými, které vstupují do analýzy finančních charakteristik podniků, u kterých bylo vyhlášeno moratorium. Účetní data mají sice řadu nevýhod ve své oceňovací bázi, je zde riziko, že budou chybně</w:t>
      </w:r>
      <w:r w:rsidR="00ED115D">
        <w:t xml:space="preserve"> vykazována</w:t>
      </w:r>
      <w:r>
        <w:t>, ale poskytují komplexní pohled na podnik a díky účetním pravidlům umožňují mezipodnikové srovnávání, protože popisují fungování společností stejným jazykem. Ukazuje se, že ale ani odhady znalců při oceňování majetkové podstaty insolventn</w:t>
      </w:r>
      <w:r w:rsidR="00ED115D">
        <w:t>ího podniku nejsou často reálné</w:t>
      </w:r>
      <w:r>
        <w:t>.</w:t>
      </w:r>
    </w:p>
    <w:p w:rsidR="00740020" w:rsidRDefault="00740020" w:rsidP="00740020">
      <w:r>
        <w:lastRenderedPageBreak/>
        <w:t xml:space="preserve">Pro analýzu kvantitativních proměnných je nutné testovat </w:t>
      </w:r>
      <w:r w:rsidRPr="00C90406">
        <w:rPr>
          <w:b/>
        </w:rPr>
        <w:t>normalitu rozdělení dat</w:t>
      </w:r>
      <w:r>
        <w:t xml:space="preserve">, a to za účelem, zda pro analýzy lze použít parametrické testy. Tento test je proveden pomocí </w:t>
      </w:r>
      <w:r w:rsidRPr="00543FF5">
        <w:rPr>
          <w:b/>
        </w:rPr>
        <w:t>Kolmogorov</w:t>
      </w:r>
      <w:r>
        <w:rPr>
          <w:b/>
        </w:rPr>
        <w:t>ova</w:t>
      </w:r>
      <w:r w:rsidRPr="00543FF5">
        <w:rPr>
          <w:b/>
        </w:rPr>
        <w:t>-Smirnov</w:t>
      </w:r>
      <w:r>
        <w:rPr>
          <w:b/>
        </w:rPr>
        <w:t xml:space="preserve">ova </w:t>
      </w:r>
      <w:r>
        <w:t>testu</w:t>
      </w:r>
      <w:r w:rsidRPr="00543FF5">
        <w:rPr>
          <w:b/>
        </w:rPr>
        <w:t xml:space="preserve"> </w:t>
      </w:r>
      <w:r w:rsidRPr="0097654C">
        <w:t>a</w:t>
      </w:r>
      <w:r w:rsidRPr="00543FF5">
        <w:rPr>
          <w:b/>
        </w:rPr>
        <w:t xml:space="preserve"> Shapiro-Wilk</w:t>
      </w:r>
      <w:r>
        <w:rPr>
          <w:b/>
        </w:rPr>
        <w:t xml:space="preserve">ova </w:t>
      </w:r>
      <w:r w:rsidRPr="00A05996">
        <w:t>testu</w:t>
      </w:r>
      <w:r>
        <w:t>. Test normality byl aplikován na výše uvedené proměnné</w:t>
      </w:r>
      <w:r w:rsidRPr="00E141DC">
        <w:t xml:space="preserve">. </w:t>
      </w:r>
    </w:p>
    <w:p w:rsidR="00740020" w:rsidRPr="0084046E" w:rsidRDefault="00740020" w:rsidP="00740020">
      <w:r>
        <w:t xml:space="preserve">Na základě testu normality bylo zjištěno, že u všech proměnných je nutné zamítnout hypotézu o normalitě rozdělení dat. Z toho plyne, že pro další analýzu těchto proměnných </w:t>
      </w:r>
      <w:r w:rsidRPr="00544687">
        <w:rPr>
          <w:b/>
        </w:rPr>
        <w:t>není možné použít parametrické</w:t>
      </w:r>
      <w:r w:rsidRPr="00A05996">
        <w:rPr>
          <w:b/>
        </w:rPr>
        <w:t xml:space="preserve"> testy</w:t>
      </w:r>
      <w:r>
        <w:t>, které vyžadují normální rozdělení.</w:t>
      </w:r>
    </w:p>
    <w:p w:rsidR="00740020" w:rsidRDefault="00740020" w:rsidP="00740020">
      <w:r>
        <w:t xml:space="preserve">V datovém souboru byly dále identifikovány proměnné, u kterých má určitou vypovídací schopnost jejich polarita, tedy skutečnost, zda jsou kladné či záporné. Z těchto proměnných byly pro potřeby analýzy vytvořeny </w:t>
      </w:r>
      <w:r w:rsidRPr="00F01C60">
        <w:rPr>
          <w:b/>
        </w:rPr>
        <w:t>dichotomické binární proměnné</w:t>
      </w:r>
      <w:r>
        <w:t>. V případě, že původní proměnná je kladná, nabude příslušná dichotomická proměnná hodnotu nula, pokud je původní proměnná záporná, nabude příslušná dichotomická proměnná hodnotu jedna. Tento postup byl zvolen u následujících proměnných:</w:t>
      </w:r>
    </w:p>
    <w:p w:rsidR="00740020" w:rsidRDefault="00740020" w:rsidP="00740020">
      <w:pPr>
        <w:pStyle w:val="Odstavecseseznamem"/>
        <w:numPr>
          <w:ilvl w:val="0"/>
          <w:numId w:val="18"/>
        </w:numPr>
        <w:spacing w:after="200" w:line="360" w:lineRule="auto"/>
      </w:pPr>
      <w:r>
        <w:t>primární EBITDA,</w:t>
      </w:r>
    </w:p>
    <w:p w:rsidR="00740020" w:rsidRDefault="00740020" w:rsidP="00740020">
      <w:pPr>
        <w:pStyle w:val="Odstavecseseznamem"/>
        <w:numPr>
          <w:ilvl w:val="0"/>
          <w:numId w:val="18"/>
        </w:numPr>
        <w:spacing w:after="200" w:line="360" w:lineRule="auto"/>
      </w:pPr>
      <w:r>
        <w:t>deficit nutné hotovosti,</w:t>
      </w:r>
    </w:p>
    <w:p w:rsidR="00740020" w:rsidRDefault="00740020" w:rsidP="00740020">
      <w:pPr>
        <w:pStyle w:val="Odstavecseseznamem"/>
        <w:numPr>
          <w:ilvl w:val="0"/>
          <w:numId w:val="18"/>
        </w:numPr>
        <w:spacing w:after="200" w:line="360" w:lineRule="auto"/>
      </w:pPr>
      <w:r>
        <w:t>saldo primárních NS PK,</w:t>
      </w:r>
    </w:p>
    <w:p w:rsidR="00740020" w:rsidRDefault="00740020" w:rsidP="00740020">
      <w:pPr>
        <w:pStyle w:val="Odstavecseseznamem"/>
        <w:numPr>
          <w:ilvl w:val="0"/>
          <w:numId w:val="18"/>
        </w:numPr>
        <w:spacing w:after="200" w:line="360" w:lineRule="auto"/>
      </w:pPr>
      <w:r>
        <w:t>vlastní kapitál.</w:t>
      </w:r>
    </w:p>
    <w:p w:rsidR="00740020" w:rsidRDefault="00740020" w:rsidP="00740020">
      <w:r>
        <w:t>Současně byla vytvořena dichotomická proměnná pro dvě kategorie indexu IN05, a to pro kategorii šedá zóna a kategorii bankrotní podnik (neboť v zóně bonitních podniků se u tohoto ukazatele nachází pouze jedno procento případů).</w:t>
      </w:r>
    </w:p>
    <w:p w:rsidR="00740020" w:rsidRDefault="00740020" w:rsidP="00740020">
      <w:r>
        <w:t xml:space="preserve">Dále byly pro všechny výše uvedené poměrové a syntetické ukazatele vytvořeny </w:t>
      </w:r>
      <w:r w:rsidRPr="00F13F13">
        <w:rPr>
          <w:b/>
        </w:rPr>
        <w:t>kategoriální proměnné</w:t>
      </w:r>
      <w:r>
        <w:rPr>
          <w:b/>
        </w:rPr>
        <w:t>.</w:t>
      </w:r>
      <w:r>
        <w:t xml:space="preserve"> U poměrových ukazatelů bylo použito intervalové třídění, kde počet intervalů byl stanoven podle Sturgesova pravidla. Poměrové ukazatele tak byly rozčleněny do sedmi intervalů, kdy každý interval obsahuje stejný počet původních proměnných. Kategorie vzniklé na základě intervalového třídění byly uspořádány od nejhorších po nejlepší hodnoty. Syntetické ukazatele z řady bankrotních a bonitních modelů byly rozčleněny do tří kategorií, a to na základě hraničních hodnot uváděných v odborné literatuře tvůrci modelů (Altman, 1968, Neumaierová, 2005 nebo Kralicek, 2007). Pásma daná hraničními hodnotami jsou běžně využívaná při ověřování vypovídací schopnosti syntetických ukazatelů. Kromě uvedených kategoriálních proměnných byla ještě vytvořena kategoriální proměnná charakterizující podniky dle velikosti tržeb, aby bylo možné sledovat velikost podniků, u kterých bylo vyhlášeno moratorium.</w:t>
      </w:r>
    </w:p>
    <w:p w:rsidR="00ED115D" w:rsidRPr="001E00CC" w:rsidRDefault="00ED115D" w:rsidP="00740020"/>
    <w:p w:rsidR="00740020" w:rsidRDefault="00740020" w:rsidP="00ED115D">
      <w:pPr>
        <w:pStyle w:val="Nadpis3"/>
        <w:numPr>
          <w:ilvl w:val="2"/>
          <w:numId w:val="15"/>
        </w:numPr>
      </w:pPr>
      <w:bookmarkStart w:id="18" w:name="_Toc31054449"/>
      <w:r>
        <w:t>Použité metody</w:t>
      </w:r>
      <w:bookmarkEnd w:id="18"/>
    </w:p>
    <w:p w:rsidR="00740020" w:rsidRPr="00A40A21" w:rsidRDefault="00740020" w:rsidP="00740020">
      <w:r>
        <w:t>V rámci výzkumu byly použity statistické metody zaměřující se na analýzu jednotlivých proměnných a analýzu závislostí vybraných proměnných. Jednotlivé analýzy byly aplikovány jak na celek, tak na jednotlivá období před vyhlášením moratoria.</w:t>
      </w:r>
    </w:p>
    <w:p w:rsidR="00740020" w:rsidRDefault="00740020" w:rsidP="00740020">
      <w:r>
        <w:t>V rámci analýzy jednotlivých proměnných</w:t>
      </w:r>
      <w:r w:rsidRPr="00196CE2">
        <w:t xml:space="preserve"> je analyzováno </w:t>
      </w:r>
      <w:r w:rsidRPr="00196CE2">
        <w:rPr>
          <w:b/>
        </w:rPr>
        <w:t>rozdělení četností</w:t>
      </w:r>
      <w:r w:rsidRPr="00196CE2">
        <w:t xml:space="preserve"> kategoriálních proměnných </w:t>
      </w:r>
      <w:r>
        <w:t>u kategorií syntetických ukazatelů a kategorií podniků podle velikosti tržeb</w:t>
      </w:r>
      <w:r w:rsidRPr="00196CE2">
        <w:t>.</w:t>
      </w:r>
      <w:r>
        <w:t xml:space="preserve"> Dále byla provedena analýza relativních četností u ukazatelů, u kterých je signifikantní samotná </w:t>
      </w:r>
      <w:r>
        <w:lastRenderedPageBreak/>
        <w:t>skutečnost, zda je jejich hodnota kladná, či záporná. V rámci analýzy indexu IN05 byla dále provedena grafická analýza rozdělení četností. Grafická prezentace rozdělení četností v jednotlivých letech před moratoriem je provedena pomocí krabičkového grafu.</w:t>
      </w:r>
    </w:p>
    <w:p w:rsidR="00740020" w:rsidRDefault="00740020" w:rsidP="00740020">
      <w:r>
        <w:t xml:space="preserve">Dále byly </w:t>
      </w:r>
      <w:r w:rsidRPr="00196CE2">
        <w:t xml:space="preserve">analyzovány </w:t>
      </w:r>
      <w:r w:rsidRPr="00196CE2">
        <w:rPr>
          <w:b/>
        </w:rPr>
        <w:t>průměr a medián</w:t>
      </w:r>
      <w:r w:rsidRPr="00196CE2">
        <w:t xml:space="preserve"> poměrových a syntetických ukazatelů. U průměru byl sledován jak průměr celkový, tak průměr redukovaný, ze kterého je vyloučeno </w:t>
      </w:r>
      <w:r>
        <w:t>pět procent</w:t>
      </w:r>
      <w:r w:rsidRPr="00196CE2">
        <w:t xml:space="preserve"> krajních hodnot. To umožnilo vyloučení odlehlých a extrémních hodnot z průměru ukazatelů. </w:t>
      </w:r>
    </w:p>
    <w:p w:rsidR="00740020" w:rsidRDefault="00740020" w:rsidP="00740020">
      <w:r>
        <w:t xml:space="preserve">V rámci výzkumu bylo dále provedeno několik </w:t>
      </w:r>
      <w:r w:rsidRPr="00C90406">
        <w:rPr>
          <w:b/>
        </w:rPr>
        <w:t>analýz závislostí</w:t>
      </w:r>
      <w:r>
        <w:t>. Analýza závislostí byla provedena pro různé dvojice proměnných. Je však nutno reflektovat, že analýza závislostí dvou proměnných nezohledňuje vliv proměnných ostatních.</w:t>
      </w:r>
    </w:p>
    <w:p w:rsidR="00740020" w:rsidRDefault="00740020" w:rsidP="00740020">
      <w:r>
        <w:t xml:space="preserve">Jako první byla provedena analýza závislostí dosažené hodnoty indexu IN05 (kvantitativní proměnná) na kategoriích jednotlivých poměrových ukazatelů daných intervalovým tříděním. Byla měřena intenzita statistické závislosti pomocí odmocniny poměru determinace označované jako koeficient </w:t>
      </w:r>
      <w:r w:rsidRPr="00BC60C9">
        <w:rPr>
          <w:b/>
        </w:rPr>
        <w:t>éta</w:t>
      </w:r>
      <w:r>
        <w:t xml:space="preserve">, který měří závislost kvantitativní proměnné na proměnné kategoriální a nabývá hodnot z intervalu </w:t>
      </w:r>
      <w:r w:rsidRPr="005E21F7">
        <w:t>&lt;</w:t>
      </w:r>
      <w:r>
        <w:t>0;1&gt;. Čím je hodnota koeficientu větší, tím je závislost silnější.</w:t>
      </w:r>
    </w:p>
    <w:p w:rsidR="00740020" w:rsidRDefault="00740020" w:rsidP="00740020">
      <w:r>
        <w:t xml:space="preserve">Dále byla provedena analýza závislostí indexu IN05, resp. dichotomické proměnné vytvořené na základě výsledků tohoto indexu (šedá zóna vs. bankrotní podnik) ve vztahu k ostatním dichotomickým proměnným, které prezentují polaritu vybraných poměrových ukazatelů. Je tak možné použít </w:t>
      </w:r>
      <w:r w:rsidRPr="00BC60C9">
        <w:rPr>
          <w:b/>
        </w:rPr>
        <w:t>poměr šancí</w:t>
      </w:r>
      <w:r>
        <w:t>, speciální míru závislosti určenou pro tzv. čtyřpolní tabulky. Kromě poměru šancí jsou uváděny rovněž koeficienty relativního rizika a pro všechny koeficienty je kromě bodového odhadu uveden 95% interval spolehlivosti prostřednictvím dolní a horní meze tohoto intervalu.</w:t>
      </w:r>
    </w:p>
    <w:p w:rsidR="00740020" w:rsidRDefault="00740020" w:rsidP="00740020">
      <w:r>
        <w:t xml:space="preserve">Následně byla provedena analýza závislostí </w:t>
      </w:r>
      <w:r w:rsidRPr="00263949">
        <w:rPr>
          <w:b/>
        </w:rPr>
        <w:t>indikátorů úpadku</w:t>
      </w:r>
      <w:r>
        <w:t xml:space="preserve">. Jako indikátory úpadku byly zvoleny polarita deficitu nutné hotovosti (jako indikátor potenciální platební neschopnosti) a polarita vlastního kapitálu (jako indikátor potenciálního předlužení) ve vztahu k polaritě ostatních poměrových ukazatelů. I zde byl použit </w:t>
      </w:r>
      <w:r w:rsidRPr="00BC60C9">
        <w:rPr>
          <w:b/>
        </w:rPr>
        <w:t>poměr šancí</w:t>
      </w:r>
      <w:r>
        <w:t>. Zvolené indikátory úpadku kopírují podmínky insolvenčního zákona, kdy je možno úpadek subjektu vyhlásit na základě platební neschopnosti nebo předlužení, pokud má subjekt alespoň dva věřitele.</w:t>
      </w:r>
    </w:p>
    <w:p w:rsidR="00740020" w:rsidRDefault="00740020" w:rsidP="00ED115D">
      <w:pPr>
        <w:pStyle w:val="Nadpis3"/>
        <w:numPr>
          <w:ilvl w:val="2"/>
          <w:numId w:val="15"/>
        </w:numPr>
      </w:pPr>
      <w:bookmarkStart w:id="19" w:name="_Toc31054450"/>
      <w:r w:rsidRPr="00584CB6">
        <w:t>Výsledky</w:t>
      </w:r>
      <w:r>
        <w:t xml:space="preserve"> analýzy</w:t>
      </w:r>
      <w:bookmarkEnd w:id="19"/>
    </w:p>
    <w:p w:rsidR="00740020" w:rsidRPr="007F3578" w:rsidRDefault="00740020" w:rsidP="00740020">
      <w:r>
        <w:t xml:space="preserve">Tato kapitola je věnována prezentaci výsledků provedené analýzy, je rozdělena na tři části. První část ukazuje hodnoty základních sledovaných poměrových ukazatelů, druhá část zobrazuje výsledky syntetických ukazatelů, tj. Altmanova Z-Score, indexu IN05 a Kralickova rychlého testu. Poslední, třetí, část se zaměřuje na vztahy indikátorů úpadku (daného platební neschopností nebo předlužením) k ostatním ukazatelům při využití poměru šancí. </w:t>
      </w:r>
    </w:p>
    <w:p w:rsidR="00740020" w:rsidRPr="007F69BA" w:rsidRDefault="00740020" w:rsidP="00ED115D">
      <w:pPr>
        <w:pStyle w:val="Nadpis3"/>
        <w:numPr>
          <w:ilvl w:val="2"/>
          <w:numId w:val="15"/>
        </w:numPr>
      </w:pPr>
      <w:bookmarkStart w:id="20" w:name="_Toc506069334"/>
      <w:bookmarkStart w:id="21" w:name="_Toc506149961"/>
      <w:bookmarkStart w:id="22" w:name="_Toc31054451"/>
      <w:r>
        <w:t>Analýza jednotlivých proměnných</w:t>
      </w:r>
      <w:bookmarkEnd w:id="20"/>
      <w:bookmarkEnd w:id="21"/>
      <w:bookmarkEnd w:id="22"/>
    </w:p>
    <w:p w:rsidR="00740020" w:rsidRDefault="00740020" w:rsidP="00ED115D">
      <w:bookmarkStart w:id="23" w:name="_Toc506149971"/>
      <w:r w:rsidRPr="00861BAC">
        <w:t>Analýza četnosti kategorií velikosti tržeb odráží velikost analyzovaných podniků. Detailnější rozčlenění ve vztahu k okamž</w:t>
      </w:r>
      <w:r w:rsidRPr="00176421">
        <w:t xml:space="preserve">iku vykázání účetních dat ve vazbě na datum vyhlášení moratoria dokládá časový vývoj velikosti </w:t>
      </w:r>
      <w:r w:rsidRPr="00A036CB">
        <w:t>dotčených podniků.</w:t>
      </w:r>
    </w:p>
    <w:p w:rsidR="00ED115D" w:rsidRDefault="00ED115D" w:rsidP="00ED115D"/>
    <w:p w:rsidR="00ED115D" w:rsidRPr="00A036CB" w:rsidRDefault="00ED115D" w:rsidP="00ED115D"/>
    <w:p w:rsidR="00740020" w:rsidRDefault="00740020" w:rsidP="00740020">
      <w:pPr>
        <w:pStyle w:val="Titulek"/>
      </w:pPr>
      <w:bookmarkStart w:id="24" w:name="_Toc31054781"/>
      <w:r>
        <w:lastRenderedPageBreak/>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5</w:t>
      </w:r>
      <w:r w:rsidR="00163A91">
        <w:rPr>
          <w:noProof/>
        </w:rPr>
        <w:fldChar w:fldCharType="end"/>
      </w:r>
      <w:r>
        <w:t xml:space="preserve"> – Četnost kategorií velikosti tržeb</w:t>
      </w:r>
      <w:bookmarkEnd w:id="23"/>
      <w:bookmarkEnd w:id="24"/>
    </w:p>
    <w:tbl>
      <w:tblPr>
        <w:tblW w:w="8505" w:type="dxa"/>
        <w:tblCellMar>
          <w:left w:w="70" w:type="dxa"/>
          <w:right w:w="70" w:type="dxa"/>
        </w:tblCellMar>
        <w:tblLook w:val="04A0"/>
      </w:tblPr>
      <w:tblGrid>
        <w:gridCol w:w="1973"/>
        <w:gridCol w:w="1633"/>
        <w:gridCol w:w="1633"/>
        <w:gridCol w:w="1633"/>
        <w:gridCol w:w="1633"/>
      </w:tblGrid>
      <w:tr w:rsidR="00740020" w:rsidRPr="009600C5" w:rsidTr="00740020">
        <w:trPr>
          <w:trHeight w:val="539"/>
        </w:trPr>
        <w:tc>
          <w:tcPr>
            <w:tcW w:w="2520" w:type="dxa"/>
            <w:tcBorders>
              <w:top w:val="single" w:sz="4" w:space="0" w:color="auto"/>
              <w:left w:val="single" w:sz="4" w:space="0" w:color="auto"/>
              <w:bottom w:val="single" w:sz="4" w:space="0" w:color="152935"/>
              <w:right w:val="nil"/>
            </w:tcBorders>
            <w:shd w:val="clear" w:color="auto" w:fill="auto"/>
            <w:vAlign w:val="center"/>
            <w:hideMark/>
          </w:tcPr>
          <w:p w:rsidR="00740020" w:rsidRPr="009600C5" w:rsidRDefault="00740020" w:rsidP="00740020">
            <w:pPr>
              <w:spacing w:after="0" w:line="240" w:lineRule="auto"/>
              <w:jc w:val="left"/>
              <w:rPr>
                <w:rFonts w:ascii="Arial" w:eastAsia="Times New Roman" w:hAnsi="Arial" w:cs="Arial"/>
                <w:color w:val="264A60"/>
                <w:sz w:val="18"/>
                <w:szCs w:val="18"/>
                <w:lang w:eastAsia="cs-CZ"/>
              </w:rPr>
            </w:pPr>
            <w:r w:rsidRPr="009600C5">
              <w:rPr>
                <w:rFonts w:ascii="Arial" w:eastAsia="Times New Roman" w:hAnsi="Arial" w:cs="Arial"/>
                <w:color w:val="264A60"/>
                <w:sz w:val="18"/>
                <w:szCs w:val="18"/>
                <w:lang w:eastAsia="cs-CZ"/>
              </w:rPr>
              <w:t> </w:t>
            </w:r>
            <w:r>
              <w:rPr>
                <w:rFonts w:ascii="Arial" w:eastAsia="Times New Roman" w:hAnsi="Arial" w:cs="Arial"/>
                <w:color w:val="264A60"/>
                <w:sz w:val="18"/>
                <w:szCs w:val="18"/>
                <w:lang w:eastAsia="cs-CZ"/>
              </w:rPr>
              <w:t>Tržby v tis. Kč</w:t>
            </w:r>
          </w:p>
        </w:tc>
        <w:tc>
          <w:tcPr>
            <w:tcW w:w="1633" w:type="dxa"/>
            <w:tcBorders>
              <w:top w:val="single" w:sz="4" w:space="0" w:color="auto"/>
              <w:left w:val="single" w:sz="4" w:space="0" w:color="auto"/>
              <w:bottom w:val="single" w:sz="4" w:space="0" w:color="152935"/>
              <w:right w:val="nil"/>
            </w:tcBorders>
            <w:shd w:val="clear" w:color="auto" w:fill="auto"/>
            <w:vAlign w:val="center"/>
            <w:hideMark/>
          </w:tcPr>
          <w:p w:rsidR="00740020" w:rsidRPr="009600C5" w:rsidRDefault="00740020" w:rsidP="00740020">
            <w:pPr>
              <w:spacing w:after="0" w:line="240" w:lineRule="auto"/>
              <w:jc w:val="center"/>
              <w:rPr>
                <w:rFonts w:ascii="Arial" w:eastAsia="Times New Roman" w:hAnsi="Arial" w:cs="Arial"/>
                <w:color w:val="264A60"/>
                <w:sz w:val="18"/>
                <w:szCs w:val="18"/>
                <w:lang w:eastAsia="cs-CZ"/>
              </w:rPr>
            </w:pPr>
            <w:r w:rsidRPr="009600C5">
              <w:rPr>
                <w:rFonts w:ascii="Arial" w:eastAsia="Times New Roman" w:hAnsi="Arial" w:cs="Arial"/>
                <w:color w:val="264A60"/>
                <w:sz w:val="18"/>
                <w:szCs w:val="18"/>
                <w:lang w:eastAsia="cs-CZ"/>
              </w:rPr>
              <w:t>1 rok před moratoriem</w:t>
            </w:r>
          </w:p>
        </w:tc>
        <w:tc>
          <w:tcPr>
            <w:tcW w:w="1633" w:type="dxa"/>
            <w:tcBorders>
              <w:top w:val="single" w:sz="4" w:space="0" w:color="auto"/>
              <w:left w:val="single" w:sz="4" w:space="0" w:color="E0E0E0"/>
              <w:bottom w:val="single" w:sz="4" w:space="0" w:color="152935"/>
              <w:right w:val="single" w:sz="4" w:space="0" w:color="E0E0E0"/>
            </w:tcBorders>
            <w:shd w:val="clear" w:color="auto" w:fill="auto"/>
            <w:vAlign w:val="center"/>
            <w:hideMark/>
          </w:tcPr>
          <w:p w:rsidR="00740020" w:rsidRPr="009600C5" w:rsidRDefault="00740020" w:rsidP="00740020">
            <w:pPr>
              <w:spacing w:after="0" w:line="240" w:lineRule="auto"/>
              <w:jc w:val="center"/>
              <w:rPr>
                <w:rFonts w:ascii="Arial" w:eastAsia="Times New Roman" w:hAnsi="Arial" w:cs="Arial"/>
                <w:color w:val="264A60"/>
                <w:sz w:val="18"/>
                <w:szCs w:val="18"/>
                <w:lang w:eastAsia="cs-CZ"/>
              </w:rPr>
            </w:pPr>
            <w:r w:rsidRPr="009600C5">
              <w:rPr>
                <w:rFonts w:ascii="Arial" w:eastAsia="Times New Roman" w:hAnsi="Arial" w:cs="Arial"/>
                <w:color w:val="264A60"/>
                <w:sz w:val="18"/>
                <w:szCs w:val="18"/>
                <w:lang w:eastAsia="cs-CZ"/>
              </w:rPr>
              <w:t>2 roky před moratoriem</w:t>
            </w:r>
          </w:p>
        </w:tc>
        <w:tc>
          <w:tcPr>
            <w:tcW w:w="1633" w:type="dxa"/>
            <w:tcBorders>
              <w:top w:val="single" w:sz="4" w:space="0" w:color="auto"/>
              <w:left w:val="nil"/>
              <w:bottom w:val="single" w:sz="4" w:space="0" w:color="152935"/>
              <w:right w:val="nil"/>
            </w:tcBorders>
            <w:shd w:val="clear" w:color="auto" w:fill="auto"/>
            <w:vAlign w:val="center"/>
            <w:hideMark/>
          </w:tcPr>
          <w:p w:rsidR="00740020" w:rsidRPr="009600C5" w:rsidRDefault="00740020" w:rsidP="00740020">
            <w:pPr>
              <w:spacing w:after="0" w:line="240" w:lineRule="auto"/>
              <w:jc w:val="center"/>
              <w:rPr>
                <w:rFonts w:ascii="Arial" w:eastAsia="Times New Roman" w:hAnsi="Arial" w:cs="Arial"/>
                <w:color w:val="264A60"/>
                <w:sz w:val="18"/>
                <w:szCs w:val="18"/>
                <w:lang w:eastAsia="cs-CZ"/>
              </w:rPr>
            </w:pPr>
            <w:r w:rsidRPr="009600C5">
              <w:rPr>
                <w:rFonts w:ascii="Arial" w:eastAsia="Times New Roman" w:hAnsi="Arial" w:cs="Arial"/>
                <w:color w:val="264A60"/>
                <w:sz w:val="18"/>
                <w:szCs w:val="18"/>
                <w:lang w:eastAsia="cs-CZ"/>
              </w:rPr>
              <w:t>3 roky před moratoriem</w:t>
            </w:r>
          </w:p>
        </w:tc>
        <w:tc>
          <w:tcPr>
            <w:tcW w:w="1633" w:type="dxa"/>
            <w:tcBorders>
              <w:top w:val="single" w:sz="4" w:space="0" w:color="auto"/>
              <w:left w:val="single" w:sz="4" w:space="0" w:color="auto"/>
              <w:bottom w:val="nil"/>
              <w:right w:val="single" w:sz="4" w:space="0" w:color="auto"/>
            </w:tcBorders>
            <w:shd w:val="clear" w:color="auto" w:fill="auto"/>
            <w:vAlign w:val="center"/>
            <w:hideMark/>
          </w:tcPr>
          <w:p w:rsidR="00740020" w:rsidRPr="009600C5" w:rsidRDefault="00740020" w:rsidP="00740020">
            <w:pPr>
              <w:spacing w:after="0" w:line="240" w:lineRule="auto"/>
              <w:jc w:val="center"/>
              <w:rPr>
                <w:rFonts w:ascii="Arial" w:eastAsia="Times New Roman" w:hAnsi="Arial" w:cs="Arial"/>
                <w:color w:val="264A60"/>
                <w:sz w:val="18"/>
                <w:szCs w:val="18"/>
                <w:lang w:eastAsia="cs-CZ"/>
              </w:rPr>
            </w:pPr>
            <w:r w:rsidRPr="009600C5">
              <w:rPr>
                <w:rFonts w:ascii="Arial" w:eastAsia="Times New Roman" w:hAnsi="Arial" w:cs="Arial"/>
                <w:color w:val="264A60"/>
                <w:sz w:val="18"/>
                <w:szCs w:val="18"/>
                <w:lang w:eastAsia="cs-CZ"/>
              </w:rPr>
              <w:t>Total</w:t>
            </w:r>
          </w:p>
        </w:tc>
      </w:tr>
      <w:tr w:rsidR="00740020" w:rsidRPr="009600C5" w:rsidTr="00740020">
        <w:trPr>
          <w:trHeight w:val="224"/>
        </w:trPr>
        <w:tc>
          <w:tcPr>
            <w:tcW w:w="2520" w:type="dxa"/>
            <w:tcBorders>
              <w:top w:val="nil"/>
              <w:left w:val="single" w:sz="4" w:space="0" w:color="auto"/>
              <w:bottom w:val="single" w:sz="4" w:space="0" w:color="AEAEAE"/>
              <w:right w:val="nil"/>
            </w:tcBorders>
            <w:shd w:val="clear" w:color="000000" w:fill="E0E0E0"/>
            <w:vAlign w:val="center"/>
            <w:hideMark/>
          </w:tcPr>
          <w:p w:rsidR="00740020" w:rsidRPr="009600C5" w:rsidRDefault="00740020" w:rsidP="00740020">
            <w:pPr>
              <w:spacing w:after="0" w:line="240" w:lineRule="auto"/>
              <w:jc w:val="left"/>
              <w:rPr>
                <w:rFonts w:ascii="Arial" w:eastAsia="Times New Roman" w:hAnsi="Arial" w:cs="Arial"/>
                <w:color w:val="264A60"/>
                <w:sz w:val="18"/>
                <w:szCs w:val="18"/>
                <w:lang w:eastAsia="cs-CZ"/>
              </w:rPr>
            </w:pPr>
            <w:r w:rsidRPr="009600C5">
              <w:rPr>
                <w:rFonts w:ascii="Arial" w:eastAsia="Times New Roman" w:hAnsi="Arial" w:cs="Arial"/>
                <w:color w:val="264A60"/>
                <w:sz w:val="18"/>
                <w:szCs w:val="18"/>
                <w:lang w:eastAsia="cs-CZ"/>
              </w:rPr>
              <w:t>&lt; 50</w:t>
            </w:r>
            <w:r>
              <w:rPr>
                <w:rFonts w:ascii="Arial" w:eastAsia="Times New Roman" w:hAnsi="Arial" w:cs="Arial"/>
                <w:color w:val="264A60"/>
                <w:sz w:val="18"/>
                <w:szCs w:val="18"/>
                <w:lang w:eastAsia="cs-CZ"/>
              </w:rPr>
              <w:t> </w:t>
            </w:r>
            <w:r w:rsidRPr="009600C5">
              <w:rPr>
                <w:rFonts w:ascii="Arial" w:eastAsia="Times New Roman" w:hAnsi="Arial" w:cs="Arial"/>
                <w:color w:val="264A60"/>
                <w:sz w:val="18"/>
                <w:szCs w:val="18"/>
                <w:lang w:eastAsia="cs-CZ"/>
              </w:rPr>
              <w:t>000</w:t>
            </w:r>
          </w:p>
        </w:tc>
        <w:tc>
          <w:tcPr>
            <w:tcW w:w="1633" w:type="dxa"/>
            <w:tcBorders>
              <w:top w:val="nil"/>
              <w:left w:val="single" w:sz="4" w:space="0" w:color="auto"/>
              <w:bottom w:val="single" w:sz="4" w:space="0" w:color="AEAEAE"/>
              <w:right w:val="nil"/>
            </w:tcBorders>
            <w:shd w:val="clear" w:color="auto" w:fill="auto"/>
            <w:noWrap/>
            <w:vAlign w:val="center"/>
            <w:hideMark/>
          </w:tcPr>
          <w:p w:rsidR="00740020" w:rsidRPr="00F94773" w:rsidRDefault="00740020" w:rsidP="00740020">
            <w:pPr>
              <w:spacing w:after="0" w:line="240" w:lineRule="auto"/>
              <w:jc w:val="center"/>
              <w:rPr>
                <w:rFonts w:ascii="Arial" w:eastAsia="Times New Roman" w:hAnsi="Arial" w:cs="Arial"/>
                <w:b/>
                <w:color w:val="010205"/>
                <w:sz w:val="18"/>
                <w:szCs w:val="18"/>
                <w:lang w:eastAsia="cs-CZ"/>
              </w:rPr>
            </w:pPr>
            <w:r w:rsidRPr="00F94773">
              <w:rPr>
                <w:rFonts w:ascii="Arial" w:eastAsia="Times New Roman" w:hAnsi="Arial" w:cs="Arial"/>
                <w:b/>
                <w:color w:val="010205"/>
                <w:sz w:val="18"/>
                <w:szCs w:val="18"/>
                <w:lang w:eastAsia="cs-CZ"/>
              </w:rPr>
              <w:t>34,8</w:t>
            </w:r>
            <w:r>
              <w:rPr>
                <w:rFonts w:ascii="Arial" w:eastAsia="Times New Roman" w:hAnsi="Arial" w:cs="Arial"/>
                <w:b/>
                <w:color w:val="010205"/>
                <w:sz w:val="18"/>
                <w:szCs w:val="18"/>
                <w:lang w:eastAsia="cs-CZ"/>
              </w:rPr>
              <w:t xml:space="preserve"> </w:t>
            </w:r>
            <w:r w:rsidRPr="00F94773">
              <w:rPr>
                <w:rFonts w:ascii="Arial" w:eastAsia="Times New Roman" w:hAnsi="Arial" w:cs="Arial"/>
                <w:b/>
                <w:color w:val="010205"/>
                <w:sz w:val="18"/>
                <w:szCs w:val="18"/>
                <w:lang w:eastAsia="cs-CZ"/>
              </w:rPr>
              <w:t>%</w:t>
            </w:r>
          </w:p>
        </w:tc>
        <w:tc>
          <w:tcPr>
            <w:tcW w:w="1633" w:type="dxa"/>
            <w:tcBorders>
              <w:top w:val="nil"/>
              <w:left w:val="single" w:sz="4" w:space="0" w:color="E0E0E0"/>
              <w:bottom w:val="single" w:sz="4" w:space="0" w:color="AEAEAE"/>
              <w:right w:val="single" w:sz="4" w:space="0" w:color="E0E0E0"/>
            </w:tcBorders>
            <w:shd w:val="clear" w:color="auto" w:fill="auto"/>
            <w:noWrap/>
            <w:vAlign w:val="center"/>
            <w:hideMark/>
          </w:tcPr>
          <w:p w:rsidR="00740020" w:rsidRPr="00F94773" w:rsidRDefault="00740020" w:rsidP="00740020">
            <w:pPr>
              <w:spacing w:after="0" w:line="240" w:lineRule="auto"/>
              <w:jc w:val="center"/>
              <w:rPr>
                <w:rFonts w:ascii="Arial" w:eastAsia="Times New Roman" w:hAnsi="Arial" w:cs="Arial"/>
                <w:b/>
                <w:color w:val="010205"/>
                <w:sz w:val="18"/>
                <w:szCs w:val="18"/>
                <w:lang w:eastAsia="cs-CZ"/>
              </w:rPr>
            </w:pPr>
            <w:r w:rsidRPr="00F94773">
              <w:rPr>
                <w:rFonts w:ascii="Arial" w:eastAsia="Times New Roman" w:hAnsi="Arial" w:cs="Arial"/>
                <w:b/>
                <w:color w:val="010205"/>
                <w:sz w:val="18"/>
                <w:szCs w:val="18"/>
                <w:lang w:eastAsia="cs-CZ"/>
              </w:rPr>
              <w:t>34,3</w:t>
            </w:r>
            <w:r>
              <w:rPr>
                <w:rFonts w:ascii="Arial" w:eastAsia="Times New Roman" w:hAnsi="Arial" w:cs="Arial"/>
                <w:b/>
                <w:color w:val="010205"/>
                <w:sz w:val="18"/>
                <w:szCs w:val="18"/>
                <w:lang w:eastAsia="cs-CZ"/>
              </w:rPr>
              <w:t xml:space="preserve"> </w:t>
            </w:r>
            <w:r w:rsidRPr="00F94773">
              <w:rPr>
                <w:rFonts w:ascii="Arial" w:eastAsia="Times New Roman" w:hAnsi="Arial" w:cs="Arial"/>
                <w:b/>
                <w:color w:val="010205"/>
                <w:sz w:val="18"/>
                <w:szCs w:val="18"/>
                <w:lang w:eastAsia="cs-CZ"/>
              </w:rPr>
              <w:t>%</w:t>
            </w:r>
          </w:p>
        </w:tc>
        <w:tc>
          <w:tcPr>
            <w:tcW w:w="1633" w:type="dxa"/>
            <w:tcBorders>
              <w:top w:val="nil"/>
              <w:left w:val="nil"/>
              <w:bottom w:val="single" w:sz="4" w:space="0" w:color="AEAEAE"/>
              <w:right w:val="nil"/>
            </w:tcBorders>
            <w:shd w:val="clear" w:color="auto" w:fill="auto"/>
            <w:noWrap/>
            <w:vAlign w:val="center"/>
            <w:hideMark/>
          </w:tcPr>
          <w:p w:rsidR="00740020" w:rsidRPr="00F94773" w:rsidRDefault="00740020" w:rsidP="00740020">
            <w:pPr>
              <w:spacing w:after="0" w:line="240" w:lineRule="auto"/>
              <w:jc w:val="center"/>
              <w:rPr>
                <w:rFonts w:ascii="Arial" w:eastAsia="Times New Roman" w:hAnsi="Arial" w:cs="Arial"/>
                <w:b/>
                <w:color w:val="010205"/>
                <w:sz w:val="18"/>
                <w:szCs w:val="18"/>
                <w:lang w:eastAsia="cs-CZ"/>
              </w:rPr>
            </w:pPr>
            <w:r w:rsidRPr="00F94773">
              <w:rPr>
                <w:rFonts w:ascii="Arial" w:eastAsia="Times New Roman" w:hAnsi="Arial" w:cs="Arial"/>
                <w:b/>
                <w:color w:val="010205"/>
                <w:sz w:val="18"/>
                <w:szCs w:val="18"/>
                <w:lang w:eastAsia="cs-CZ"/>
              </w:rPr>
              <w:t>37,5</w:t>
            </w:r>
            <w:r>
              <w:rPr>
                <w:rFonts w:ascii="Arial" w:eastAsia="Times New Roman" w:hAnsi="Arial" w:cs="Arial"/>
                <w:b/>
                <w:color w:val="010205"/>
                <w:sz w:val="18"/>
                <w:szCs w:val="18"/>
                <w:lang w:eastAsia="cs-CZ"/>
              </w:rPr>
              <w:t xml:space="preserve"> </w:t>
            </w:r>
            <w:r w:rsidRPr="00F94773">
              <w:rPr>
                <w:rFonts w:ascii="Arial" w:eastAsia="Times New Roman" w:hAnsi="Arial" w:cs="Arial"/>
                <w:b/>
                <w:color w:val="010205"/>
                <w:sz w:val="18"/>
                <w:szCs w:val="18"/>
                <w:lang w:eastAsia="cs-CZ"/>
              </w:rPr>
              <w:t>%</w:t>
            </w:r>
          </w:p>
        </w:tc>
        <w:tc>
          <w:tcPr>
            <w:tcW w:w="1633" w:type="dxa"/>
            <w:tcBorders>
              <w:top w:val="single" w:sz="4" w:space="0" w:color="152935"/>
              <w:left w:val="single" w:sz="4" w:space="0" w:color="auto"/>
              <w:bottom w:val="single" w:sz="4" w:space="0" w:color="AEAEAE"/>
              <w:right w:val="single" w:sz="4" w:space="0" w:color="auto"/>
            </w:tcBorders>
            <w:shd w:val="clear" w:color="auto" w:fill="auto"/>
            <w:noWrap/>
            <w:vAlign w:val="center"/>
            <w:hideMark/>
          </w:tcPr>
          <w:p w:rsidR="00740020" w:rsidRPr="00F94773" w:rsidRDefault="00740020" w:rsidP="00740020">
            <w:pPr>
              <w:spacing w:after="0" w:line="240" w:lineRule="auto"/>
              <w:jc w:val="center"/>
              <w:rPr>
                <w:rFonts w:ascii="Arial" w:eastAsia="Times New Roman" w:hAnsi="Arial" w:cs="Arial"/>
                <w:b/>
                <w:color w:val="010205"/>
                <w:sz w:val="18"/>
                <w:szCs w:val="18"/>
                <w:lang w:eastAsia="cs-CZ"/>
              </w:rPr>
            </w:pPr>
            <w:r w:rsidRPr="00F94773">
              <w:rPr>
                <w:rFonts w:ascii="Arial" w:eastAsia="Times New Roman" w:hAnsi="Arial" w:cs="Arial"/>
                <w:b/>
                <w:color w:val="010205"/>
                <w:sz w:val="18"/>
                <w:szCs w:val="18"/>
                <w:lang w:eastAsia="cs-CZ"/>
              </w:rPr>
              <w:t>35,7</w:t>
            </w:r>
            <w:r>
              <w:rPr>
                <w:rFonts w:ascii="Arial" w:eastAsia="Times New Roman" w:hAnsi="Arial" w:cs="Arial"/>
                <w:b/>
                <w:color w:val="010205"/>
                <w:sz w:val="18"/>
                <w:szCs w:val="18"/>
                <w:lang w:eastAsia="cs-CZ"/>
              </w:rPr>
              <w:t xml:space="preserve"> </w:t>
            </w:r>
            <w:r w:rsidRPr="00F94773">
              <w:rPr>
                <w:rFonts w:ascii="Arial" w:eastAsia="Times New Roman" w:hAnsi="Arial" w:cs="Arial"/>
                <w:b/>
                <w:color w:val="010205"/>
                <w:sz w:val="18"/>
                <w:szCs w:val="18"/>
                <w:lang w:eastAsia="cs-CZ"/>
              </w:rPr>
              <w:t>%</w:t>
            </w:r>
          </w:p>
        </w:tc>
      </w:tr>
      <w:tr w:rsidR="00740020" w:rsidRPr="009600C5" w:rsidTr="00740020">
        <w:trPr>
          <w:trHeight w:val="224"/>
        </w:trPr>
        <w:tc>
          <w:tcPr>
            <w:tcW w:w="2520" w:type="dxa"/>
            <w:tcBorders>
              <w:top w:val="nil"/>
              <w:left w:val="single" w:sz="4" w:space="0" w:color="auto"/>
              <w:bottom w:val="single" w:sz="4" w:space="0" w:color="AEAEAE"/>
              <w:right w:val="nil"/>
            </w:tcBorders>
            <w:shd w:val="clear" w:color="000000" w:fill="E0E0E0"/>
            <w:vAlign w:val="center"/>
            <w:hideMark/>
          </w:tcPr>
          <w:p w:rsidR="00740020" w:rsidRPr="009600C5" w:rsidRDefault="00740020" w:rsidP="00740020">
            <w:pPr>
              <w:spacing w:after="0" w:line="240" w:lineRule="auto"/>
              <w:jc w:val="left"/>
              <w:rPr>
                <w:rFonts w:ascii="Arial" w:eastAsia="Times New Roman" w:hAnsi="Arial" w:cs="Arial"/>
                <w:color w:val="264A60"/>
                <w:sz w:val="18"/>
                <w:szCs w:val="18"/>
                <w:lang w:eastAsia="cs-CZ"/>
              </w:rPr>
            </w:pPr>
            <w:r w:rsidRPr="009600C5">
              <w:rPr>
                <w:rFonts w:ascii="Arial" w:eastAsia="Times New Roman" w:hAnsi="Arial" w:cs="Arial"/>
                <w:color w:val="264A60"/>
                <w:sz w:val="18"/>
                <w:szCs w:val="18"/>
                <w:lang w:eastAsia="cs-CZ"/>
              </w:rPr>
              <w:t>50</w:t>
            </w:r>
            <w:r>
              <w:rPr>
                <w:rFonts w:ascii="Arial" w:eastAsia="Times New Roman" w:hAnsi="Arial" w:cs="Arial"/>
                <w:color w:val="264A60"/>
                <w:sz w:val="18"/>
                <w:szCs w:val="18"/>
                <w:lang w:eastAsia="cs-CZ"/>
              </w:rPr>
              <w:t> </w:t>
            </w:r>
            <w:r w:rsidRPr="009600C5">
              <w:rPr>
                <w:rFonts w:ascii="Arial" w:eastAsia="Times New Roman" w:hAnsi="Arial" w:cs="Arial"/>
                <w:color w:val="264A60"/>
                <w:sz w:val="18"/>
                <w:szCs w:val="18"/>
                <w:lang w:eastAsia="cs-CZ"/>
              </w:rPr>
              <w:t xml:space="preserve">000 </w:t>
            </w:r>
            <w:r>
              <w:rPr>
                <w:rFonts w:ascii="Arial" w:eastAsia="Times New Roman" w:hAnsi="Arial" w:cs="Arial"/>
                <w:color w:val="264A60"/>
                <w:sz w:val="18"/>
                <w:szCs w:val="18"/>
                <w:lang w:eastAsia="cs-CZ"/>
              </w:rPr>
              <w:t>–</w:t>
            </w:r>
            <w:r w:rsidRPr="009600C5">
              <w:rPr>
                <w:rFonts w:ascii="Arial" w:eastAsia="Times New Roman" w:hAnsi="Arial" w:cs="Arial"/>
                <w:color w:val="264A60"/>
                <w:sz w:val="18"/>
                <w:szCs w:val="18"/>
                <w:lang w:eastAsia="cs-CZ"/>
              </w:rPr>
              <w:t xml:space="preserve"> 99</w:t>
            </w:r>
            <w:r>
              <w:rPr>
                <w:rFonts w:ascii="Arial" w:eastAsia="Times New Roman" w:hAnsi="Arial" w:cs="Arial"/>
                <w:color w:val="264A60"/>
                <w:sz w:val="18"/>
                <w:szCs w:val="18"/>
                <w:lang w:eastAsia="cs-CZ"/>
              </w:rPr>
              <w:t> </w:t>
            </w:r>
            <w:r w:rsidRPr="009600C5">
              <w:rPr>
                <w:rFonts w:ascii="Arial" w:eastAsia="Times New Roman" w:hAnsi="Arial" w:cs="Arial"/>
                <w:color w:val="264A60"/>
                <w:sz w:val="18"/>
                <w:szCs w:val="18"/>
                <w:lang w:eastAsia="cs-CZ"/>
              </w:rPr>
              <w:t>999</w:t>
            </w:r>
          </w:p>
        </w:tc>
        <w:tc>
          <w:tcPr>
            <w:tcW w:w="1633" w:type="dxa"/>
            <w:tcBorders>
              <w:top w:val="nil"/>
              <w:left w:val="single" w:sz="4" w:space="0" w:color="auto"/>
              <w:bottom w:val="single" w:sz="4" w:space="0" w:color="AEAEAE"/>
              <w:right w:val="nil"/>
            </w:tcBorders>
            <w:shd w:val="clear" w:color="auto" w:fill="auto"/>
            <w:noWrap/>
            <w:vAlign w:val="center"/>
            <w:hideMark/>
          </w:tcPr>
          <w:p w:rsidR="00740020" w:rsidRPr="009600C5" w:rsidRDefault="00740020" w:rsidP="00740020">
            <w:pPr>
              <w:spacing w:after="0" w:line="240" w:lineRule="auto"/>
              <w:jc w:val="center"/>
              <w:rPr>
                <w:rFonts w:ascii="Arial" w:eastAsia="Times New Roman" w:hAnsi="Arial" w:cs="Arial"/>
                <w:color w:val="010205"/>
                <w:sz w:val="18"/>
                <w:szCs w:val="18"/>
                <w:lang w:eastAsia="cs-CZ"/>
              </w:rPr>
            </w:pPr>
            <w:r w:rsidRPr="009600C5">
              <w:rPr>
                <w:rFonts w:ascii="Arial" w:eastAsia="Times New Roman" w:hAnsi="Arial" w:cs="Arial"/>
                <w:color w:val="010205"/>
                <w:sz w:val="18"/>
                <w:szCs w:val="18"/>
                <w:lang w:eastAsia="cs-CZ"/>
              </w:rPr>
              <w:t>17,4</w:t>
            </w:r>
            <w:r>
              <w:rPr>
                <w:rFonts w:ascii="Arial" w:eastAsia="Times New Roman" w:hAnsi="Arial" w:cs="Arial"/>
                <w:color w:val="010205"/>
                <w:sz w:val="18"/>
                <w:szCs w:val="18"/>
                <w:lang w:eastAsia="cs-CZ"/>
              </w:rPr>
              <w:t xml:space="preserve"> </w:t>
            </w:r>
            <w:r w:rsidRPr="009600C5">
              <w:rPr>
                <w:rFonts w:ascii="Arial" w:eastAsia="Times New Roman" w:hAnsi="Arial" w:cs="Arial"/>
                <w:color w:val="010205"/>
                <w:sz w:val="18"/>
                <w:szCs w:val="18"/>
                <w:lang w:eastAsia="cs-CZ"/>
              </w:rPr>
              <w:t>%</w:t>
            </w:r>
          </w:p>
        </w:tc>
        <w:tc>
          <w:tcPr>
            <w:tcW w:w="1633" w:type="dxa"/>
            <w:tcBorders>
              <w:top w:val="nil"/>
              <w:left w:val="single" w:sz="4" w:space="0" w:color="E0E0E0"/>
              <w:bottom w:val="single" w:sz="4" w:space="0" w:color="AEAEAE"/>
              <w:right w:val="single" w:sz="4" w:space="0" w:color="E0E0E0"/>
            </w:tcBorders>
            <w:shd w:val="clear" w:color="auto" w:fill="auto"/>
            <w:noWrap/>
            <w:vAlign w:val="center"/>
            <w:hideMark/>
          </w:tcPr>
          <w:p w:rsidR="00740020" w:rsidRPr="009600C5" w:rsidRDefault="00740020" w:rsidP="00740020">
            <w:pPr>
              <w:spacing w:after="0" w:line="240" w:lineRule="auto"/>
              <w:jc w:val="center"/>
              <w:rPr>
                <w:rFonts w:ascii="Arial" w:eastAsia="Times New Roman" w:hAnsi="Arial" w:cs="Arial"/>
                <w:color w:val="010205"/>
                <w:sz w:val="18"/>
                <w:szCs w:val="18"/>
                <w:lang w:eastAsia="cs-CZ"/>
              </w:rPr>
            </w:pPr>
            <w:r w:rsidRPr="009600C5">
              <w:rPr>
                <w:rFonts w:ascii="Arial" w:eastAsia="Times New Roman" w:hAnsi="Arial" w:cs="Arial"/>
                <w:color w:val="010205"/>
                <w:sz w:val="18"/>
                <w:szCs w:val="18"/>
                <w:lang w:eastAsia="cs-CZ"/>
              </w:rPr>
              <w:t>5,7</w:t>
            </w:r>
            <w:r>
              <w:rPr>
                <w:rFonts w:ascii="Arial" w:eastAsia="Times New Roman" w:hAnsi="Arial" w:cs="Arial"/>
                <w:color w:val="010205"/>
                <w:sz w:val="18"/>
                <w:szCs w:val="18"/>
                <w:lang w:eastAsia="cs-CZ"/>
              </w:rPr>
              <w:t xml:space="preserve"> </w:t>
            </w:r>
            <w:r w:rsidRPr="009600C5">
              <w:rPr>
                <w:rFonts w:ascii="Arial" w:eastAsia="Times New Roman" w:hAnsi="Arial" w:cs="Arial"/>
                <w:color w:val="010205"/>
                <w:sz w:val="18"/>
                <w:szCs w:val="18"/>
                <w:lang w:eastAsia="cs-CZ"/>
              </w:rPr>
              <w:t>%</w:t>
            </w:r>
          </w:p>
        </w:tc>
        <w:tc>
          <w:tcPr>
            <w:tcW w:w="1633" w:type="dxa"/>
            <w:tcBorders>
              <w:top w:val="nil"/>
              <w:left w:val="nil"/>
              <w:bottom w:val="single" w:sz="4" w:space="0" w:color="AEAEAE"/>
              <w:right w:val="nil"/>
            </w:tcBorders>
            <w:shd w:val="clear" w:color="auto" w:fill="auto"/>
            <w:noWrap/>
            <w:vAlign w:val="center"/>
            <w:hideMark/>
          </w:tcPr>
          <w:p w:rsidR="00740020" w:rsidRPr="009600C5" w:rsidRDefault="00740020" w:rsidP="00740020">
            <w:pPr>
              <w:spacing w:after="0" w:line="240" w:lineRule="auto"/>
              <w:jc w:val="center"/>
              <w:rPr>
                <w:rFonts w:ascii="Arial" w:eastAsia="Times New Roman" w:hAnsi="Arial" w:cs="Arial"/>
                <w:color w:val="010205"/>
                <w:sz w:val="18"/>
                <w:szCs w:val="18"/>
                <w:lang w:eastAsia="cs-CZ"/>
              </w:rPr>
            </w:pPr>
            <w:r w:rsidRPr="009600C5">
              <w:rPr>
                <w:rFonts w:ascii="Arial" w:eastAsia="Times New Roman" w:hAnsi="Arial" w:cs="Arial"/>
                <w:color w:val="010205"/>
                <w:sz w:val="18"/>
                <w:szCs w:val="18"/>
                <w:lang w:eastAsia="cs-CZ"/>
              </w:rPr>
              <w:t>2,5</w:t>
            </w:r>
            <w:r>
              <w:rPr>
                <w:rFonts w:ascii="Arial" w:eastAsia="Times New Roman" w:hAnsi="Arial" w:cs="Arial"/>
                <w:color w:val="010205"/>
                <w:sz w:val="18"/>
                <w:szCs w:val="18"/>
                <w:lang w:eastAsia="cs-CZ"/>
              </w:rPr>
              <w:t xml:space="preserve"> </w:t>
            </w:r>
            <w:r w:rsidRPr="009600C5">
              <w:rPr>
                <w:rFonts w:ascii="Arial" w:eastAsia="Times New Roman" w:hAnsi="Arial" w:cs="Arial"/>
                <w:color w:val="010205"/>
                <w:sz w:val="18"/>
                <w:szCs w:val="18"/>
                <w:lang w:eastAsia="cs-CZ"/>
              </w:rPr>
              <w:t>%</w:t>
            </w:r>
          </w:p>
        </w:tc>
        <w:tc>
          <w:tcPr>
            <w:tcW w:w="1633" w:type="dxa"/>
            <w:tcBorders>
              <w:top w:val="nil"/>
              <w:left w:val="single" w:sz="4" w:space="0" w:color="auto"/>
              <w:bottom w:val="single" w:sz="4" w:space="0" w:color="AEAEAE"/>
              <w:right w:val="single" w:sz="4" w:space="0" w:color="auto"/>
            </w:tcBorders>
            <w:shd w:val="clear" w:color="auto" w:fill="auto"/>
            <w:noWrap/>
            <w:vAlign w:val="center"/>
            <w:hideMark/>
          </w:tcPr>
          <w:p w:rsidR="00740020" w:rsidRPr="009600C5" w:rsidRDefault="00740020" w:rsidP="00740020">
            <w:pPr>
              <w:spacing w:after="0" w:line="240" w:lineRule="auto"/>
              <w:jc w:val="center"/>
              <w:rPr>
                <w:rFonts w:ascii="Arial" w:eastAsia="Times New Roman" w:hAnsi="Arial" w:cs="Arial"/>
                <w:color w:val="010205"/>
                <w:sz w:val="18"/>
                <w:szCs w:val="18"/>
                <w:lang w:eastAsia="cs-CZ"/>
              </w:rPr>
            </w:pPr>
            <w:r w:rsidRPr="009600C5">
              <w:rPr>
                <w:rFonts w:ascii="Arial" w:eastAsia="Times New Roman" w:hAnsi="Arial" w:cs="Arial"/>
                <w:color w:val="010205"/>
                <w:sz w:val="18"/>
                <w:szCs w:val="18"/>
                <w:lang w:eastAsia="cs-CZ"/>
              </w:rPr>
              <w:t>7,1</w:t>
            </w:r>
            <w:r>
              <w:rPr>
                <w:rFonts w:ascii="Arial" w:eastAsia="Times New Roman" w:hAnsi="Arial" w:cs="Arial"/>
                <w:color w:val="010205"/>
                <w:sz w:val="18"/>
                <w:szCs w:val="18"/>
                <w:lang w:eastAsia="cs-CZ"/>
              </w:rPr>
              <w:t xml:space="preserve"> </w:t>
            </w:r>
            <w:r w:rsidRPr="009600C5">
              <w:rPr>
                <w:rFonts w:ascii="Arial" w:eastAsia="Times New Roman" w:hAnsi="Arial" w:cs="Arial"/>
                <w:color w:val="010205"/>
                <w:sz w:val="18"/>
                <w:szCs w:val="18"/>
                <w:lang w:eastAsia="cs-CZ"/>
              </w:rPr>
              <w:t>%</w:t>
            </w:r>
          </w:p>
        </w:tc>
      </w:tr>
      <w:tr w:rsidR="00740020" w:rsidRPr="009600C5" w:rsidTr="00740020">
        <w:trPr>
          <w:trHeight w:val="224"/>
        </w:trPr>
        <w:tc>
          <w:tcPr>
            <w:tcW w:w="2520" w:type="dxa"/>
            <w:tcBorders>
              <w:top w:val="nil"/>
              <w:left w:val="single" w:sz="4" w:space="0" w:color="auto"/>
              <w:bottom w:val="single" w:sz="4" w:space="0" w:color="AEAEAE"/>
              <w:right w:val="nil"/>
            </w:tcBorders>
            <w:shd w:val="clear" w:color="000000" w:fill="E0E0E0"/>
            <w:vAlign w:val="center"/>
            <w:hideMark/>
          </w:tcPr>
          <w:p w:rsidR="00740020" w:rsidRPr="009600C5" w:rsidRDefault="00740020" w:rsidP="00740020">
            <w:pPr>
              <w:spacing w:after="0" w:line="240" w:lineRule="auto"/>
              <w:jc w:val="left"/>
              <w:rPr>
                <w:rFonts w:ascii="Arial" w:eastAsia="Times New Roman" w:hAnsi="Arial" w:cs="Arial"/>
                <w:color w:val="264A60"/>
                <w:sz w:val="18"/>
                <w:szCs w:val="18"/>
                <w:lang w:eastAsia="cs-CZ"/>
              </w:rPr>
            </w:pPr>
            <w:r w:rsidRPr="009600C5">
              <w:rPr>
                <w:rFonts w:ascii="Arial" w:eastAsia="Times New Roman" w:hAnsi="Arial" w:cs="Arial"/>
                <w:color w:val="264A60"/>
                <w:sz w:val="18"/>
                <w:szCs w:val="18"/>
                <w:lang w:eastAsia="cs-CZ"/>
              </w:rPr>
              <w:t>100</w:t>
            </w:r>
            <w:r>
              <w:rPr>
                <w:rFonts w:ascii="Arial" w:eastAsia="Times New Roman" w:hAnsi="Arial" w:cs="Arial"/>
                <w:color w:val="264A60"/>
                <w:sz w:val="18"/>
                <w:szCs w:val="18"/>
                <w:lang w:eastAsia="cs-CZ"/>
              </w:rPr>
              <w:t> </w:t>
            </w:r>
            <w:r w:rsidRPr="009600C5">
              <w:rPr>
                <w:rFonts w:ascii="Arial" w:eastAsia="Times New Roman" w:hAnsi="Arial" w:cs="Arial"/>
                <w:color w:val="264A60"/>
                <w:sz w:val="18"/>
                <w:szCs w:val="18"/>
                <w:lang w:eastAsia="cs-CZ"/>
              </w:rPr>
              <w:t xml:space="preserve">000 </w:t>
            </w:r>
            <w:r>
              <w:rPr>
                <w:rFonts w:ascii="Arial" w:eastAsia="Times New Roman" w:hAnsi="Arial" w:cs="Arial"/>
                <w:color w:val="264A60"/>
                <w:sz w:val="18"/>
                <w:szCs w:val="18"/>
                <w:lang w:eastAsia="cs-CZ"/>
              </w:rPr>
              <w:t>–</w:t>
            </w:r>
            <w:r w:rsidRPr="009600C5">
              <w:rPr>
                <w:rFonts w:ascii="Arial" w:eastAsia="Times New Roman" w:hAnsi="Arial" w:cs="Arial"/>
                <w:color w:val="264A60"/>
                <w:sz w:val="18"/>
                <w:szCs w:val="18"/>
                <w:lang w:eastAsia="cs-CZ"/>
              </w:rPr>
              <w:t xml:space="preserve"> 499</w:t>
            </w:r>
            <w:r>
              <w:rPr>
                <w:rFonts w:ascii="Arial" w:eastAsia="Times New Roman" w:hAnsi="Arial" w:cs="Arial"/>
                <w:color w:val="264A60"/>
                <w:sz w:val="18"/>
                <w:szCs w:val="18"/>
                <w:lang w:eastAsia="cs-CZ"/>
              </w:rPr>
              <w:t> </w:t>
            </w:r>
            <w:r w:rsidRPr="009600C5">
              <w:rPr>
                <w:rFonts w:ascii="Arial" w:eastAsia="Times New Roman" w:hAnsi="Arial" w:cs="Arial"/>
                <w:color w:val="264A60"/>
                <w:sz w:val="18"/>
                <w:szCs w:val="18"/>
                <w:lang w:eastAsia="cs-CZ"/>
              </w:rPr>
              <w:t>999</w:t>
            </w:r>
          </w:p>
        </w:tc>
        <w:tc>
          <w:tcPr>
            <w:tcW w:w="1633" w:type="dxa"/>
            <w:tcBorders>
              <w:top w:val="nil"/>
              <w:left w:val="single" w:sz="4" w:space="0" w:color="auto"/>
              <w:bottom w:val="single" w:sz="4" w:space="0" w:color="AEAEAE"/>
              <w:right w:val="nil"/>
            </w:tcBorders>
            <w:shd w:val="clear" w:color="auto" w:fill="auto"/>
            <w:noWrap/>
            <w:vAlign w:val="center"/>
            <w:hideMark/>
          </w:tcPr>
          <w:p w:rsidR="00740020" w:rsidRPr="00F94773" w:rsidRDefault="00740020" w:rsidP="00740020">
            <w:pPr>
              <w:spacing w:after="0" w:line="240" w:lineRule="auto"/>
              <w:jc w:val="center"/>
              <w:rPr>
                <w:rFonts w:ascii="Arial" w:eastAsia="Times New Roman" w:hAnsi="Arial" w:cs="Arial"/>
                <w:b/>
                <w:color w:val="010205"/>
                <w:sz w:val="18"/>
                <w:szCs w:val="18"/>
                <w:lang w:eastAsia="cs-CZ"/>
              </w:rPr>
            </w:pPr>
            <w:r w:rsidRPr="00F94773">
              <w:rPr>
                <w:rFonts w:ascii="Arial" w:eastAsia="Times New Roman" w:hAnsi="Arial" w:cs="Arial"/>
                <w:b/>
                <w:color w:val="010205"/>
                <w:sz w:val="18"/>
                <w:szCs w:val="18"/>
                <w:lang w:eastAsia="cs-CZ"/>
              </w:rPr>
              <w:t>39,1</w:t>
            </w:r>
            <w:r>
              <w:rPr>
                <w:rFonts w:ascii="Arial" w:eastAsia="Times New Roman" w:hAnsi="Arial" w:cs="Arial"/>
                <w:b/>
                <w:color w:val="010205"/>
                <w:sz w:val="18"/>
                <w:szCs w:val="18"/>
                <w:lang w:eastAsia="cs-CZ"/>
              </w:rPr>
              <w:t xml:space="preserve"> </w:t>
            </w:r>
            <w:r w:rsidRPr="00F94773">
              <w:rPr>
                <w:rFonts w:ascii="Arial" w:eastAsia="Times New Roman" w:hAnsi="Arial" w:cs="Arial"/>
                <w:b/>
                <w:color w:val="010205"/>
                <w:sz w:val="18"/>
                <w:szCs w:val="18"/>
                <w:lang w:eastAsia="cs-CZ"/>
              </w:rPr>
              <w:t>%</w:t>
            </w:r>
          </w:p>
        </w:tc>
        <w:tc>
          <w:tcPr>
            <w:tcW w:w="1633" w:type="dxa"/>
            <w:tcBorders>
              <w:top w:val="nil"/>
              <w:left w:val="single" w:sz="4" w:space="0" w:color="E0E0E0"/>
              <w:bottom w:val="single" w:sz="4" w:space="0" w:color="AEAEAE"/>
              <w:right w:val="single" w:sz="4" w:space="0" w:color="E0E0E0"/>
            </w:tcBorders>
            <w:shd w:val="clear" w:color="auto" w:fill="auto"/>
            <w:noWrap/>
            <w:vAlign w:val="center"/>
            <w:hideMark/>
          </w:tcPr>
          <w:p w:rsidR="00740020" w:rsidRPr="00F94773" w:rsidRDefault="00740020" w:rsidP="00740020">
            <w:pPr>
              <w:spacing w:after="0" w:line="240" w:lineRule="auto"/>
              <w:jc w:val="center"/>
              <w:rPr>
                <w:rFonts w:ascii="Arial" w:eastAsia="Times New Roman" w:hAnsi="Arial" w:cs="Arial"/>
                <w:b/>
                <w:color w:val="010205"/>
                <w:sz w:val="18"/>
                <w:szCs w:val="18"/>
                <w:lang w:eastAsia="cs-CZ"/>
              </w:rPr>
            </w:pPr>
            <w:r w:rsidRPr="00F94773">
              <w:rPr>
                <w:rFonts w:ascii="Arial" w:eastAsia="Times New Roman" w:hAnsi="Arial" w:cs="Arial"/>
                <w:b/>
                <w:color w:val="010205"/>
                <w:sz w:val="18"/>
                <w:szCs w:val="18"/>
                <w:lang w:eastAsia="cs-CZ"/>
              </w:rPr>
              <w:t>37,1</w:t>
            </w:r>
            <w:r>
              <w:rPr>
                <w:rFonts w:ascii="Arial" w:eastAsia="Times New Roman" w:hAnsi="Arial" w:cs="Arial"/>
                <w:b/>
                <w:color w:val="010205"/>
                <w:sz w:val="18"/>
                <w:szCs w:val="18"/>
                <w:lang w:eastAsia="cs-CZ"/>
              </w:rPr>
              <w:t xml:space="preserve"> </w:t>
            </w:r>
            <w:r w:rsidRPr="00F94773">
              <w:rPr>
                <w:rFonts w:ascii="Arial" w:eastAsia="Times New Roman" w:hAnsi="Arial" w:cs="Arial"/>
                <w:b/>
                <w:color w:val="010205"/>
                <w:sz w:val="18"/>
                <w:szCs w:val="18"/>
                <w:lang w:eastAsia="cs-CZ"/>
              </w:rPr>
              <w:t>%</w:t>
            </w:r>
          </w:p>
        </w:tc>
        <w:tc>
          <w:tcPr>
            <w:tcW w:w="1633" w:type="dxa"/>
            <w:tcBorders>
              <w:top w:val="nil"/>
              <w:left w:val="nil"/>
              <w:bottom w:val="single" w:sz="4" w:space="0" w:color="AEAEAE"/>
              <w:right w:val="nil"/>
            </w:tcBorders>
            <w:shd w:val="clear" w:color="auto" w:fill="auto"/>
            <w:noWrap/>
            <w:vAlign w:val="center"/>
            <w:hideMark/>
          </w:tcPr>
          <w:p w:rsidR="00740020" w:rsidRPr="00F94773" w:rsidRDefault="00740020" w:rsidP="00740020">
            <w:pPr>
              <w:spacing w:after="0" w:line="240" w:lineRule="auto"/>
              <w:jc w:val="center"/>
              <w:rPr>
                <w:rFonts w:ascii="Arial" w:eastAsia="Times New Roman" w:hAnsi="Arial" w:cs="Arial"/>
                <w:b/>
                <w:color w:val="010205"/>
                <w:sz w:val="18"/>
                <w:szCs w:val="18"/>
                <w:lang w:eastAsia="cs-CZ"/>
              </w:rPr>
            </w:pPr>
            <w:r w:rsidRPr="00F94773">
              <w:rPr>
                <w:rFonts w:ascii="Arial" w:eastAsia="Times New Roman" w:hAnsi="Arial" w:cs="Arial"/>
                <w:b/>
                <w:color w:val="010205"/>
                <w:sz w:val="18"/>
                <w:szCs w:val="18"/>
                <w:lang w:eastAsia="cs-CZ"/>
              </w:rPr>
              <w:t>37,5</w:t>
            </w:r>
            <w:r>
              <w:rPr>
                <w:rFonts w:ascii="Arial" w:eastAsia="Times New Roman" w:hAnsi="Arial" w:cs="Arial"/>
                <w:b/>
                <w:color w:val="010205"/>
                <w:sz w:val="18"/>
                <w:szCs w:val="18"/>
                <w:lang w:eastAsia="cs-CZ"/>
              </w:rPr>
              <w:t xml:space="preserve"> </w:t>
            </w:r>
            <w:r w:rsidRPr="00F94773">
              <w:rPr>
                <w:rFonts w:ascii="Arial" w:eastAsia="Times New Roman" w:hAnsi="Arial" w:cs="Arial"/>
                <w:b/>
                <w:color w:val="010205"/>
                <w:sz w:val="18"/>
                <w:szCs w:val="18"/>
                <w:lang w:eastAsia="cs-CZ"/>
              </w:rPr>
              <w:t>%</w:t>
            </w:r>
          </w:p>
        </w:tc>
        <w:tc>
          <w:tcPr>
            <w:tcW w:w="1633" w:type="dxa"/>
            <w:tcBorders>
              <w:top w:val="nil"/>
              <w:left w:val="single" w:sz="4" w:space="0" w:color="auto"/>
              <w:bottom w:val="single" w:sz="4" w:space="0" w:color="AEAEAE"/>
              <w:right w:val="single" w:sz="4" w:space="0" w:color="auto"/>
            </w:tcBorders>
            <w:shd w:val="clear" w:color="auto" w:fill="auto"/>
            <w:noWrap/>
            <w:vAlign w:val="center"/>
            <w:hideMark/>
          </w:tcPr>
          <w:p w:rsidR="00740020" w:rsidRPr="00F94773" w:rsidRDefault="00740020" w:rsidP="00740020">
            <w:pPr>
              <w:spacing w:after="0" w:line="240" w:lineRule="auto"/>
              <w:jc w:val="center"/>
              <w:rPr>
                <w:rFonts w:ascii="Arial" w:eastAsia="Times New Roman" w:hAnsi="Arial" w:cs="Arial"/>
                <w:b/>
                <w:color w:val="010205"/>
                <w:sz w:val="18"/>
                <w:szCs w:val="18"/>
                <w:lang w:eastAsia="cs-CZ"/>
              </w:rPr>
            </w:pPr>
            <w:r w:rsidRPr="00F94773">
              <w:rPr>
                <w:rFonts w:ascii="Arial" w:eastAsia="Times New Roman" w:hAnsi="Arial" w:cs="Arial"/>
                <w:b/>
                <w:color w:val="010205"/>
                <w:sz w:val="18"/>
                <w:szCs w:val="18"/>
                <w:lang w:eastAsia="cs-CZ"/>
              </w:rPr>
              <w:t>37,8</w:t>
            </w:r>
            <w:r>
              <w:rPr>
                <w:rFonts w:ascii="Arial" w:eastAsia="Times New Roman" w:hAnsi="Arial" w:cs="Arial"/>
                <w:b/>
                <w:color w:val="010205"/>
                <w:sz w:val="18"/>
                <w:szCs w:val="18"/>
                <w:lang w:eastAsia="cs-CZ"/>
              </w:rPr>
              <w:t xml:space="preserve"> </w:t>
            </w:r>
            <w:r w:rsidRPr="00F94773">
              <w:rPr>
                <w:rFonts w:ascii="Arial" w:eastAsia="Times New Roman" w:hAnsi="Arial" w:cs="Arial"/>
                <w:b/>
                <w:color w:val="010205"/>
                <w:sz w:val="18"/>
                <w:szCs w:val="18"/>
                <w:lang w:eastAsia="cs-CZ"/>
              </w:rPr>
              <w:t>%</w:t>
            </w:r>
          </w:p>
        </w:tc>
      </w:tr>
      <w:tr w:rsidR="00740020" w:rsidRPr="009600C5" w:rsidTr="00740020">
        <w:trPr>
          <w:trHeight w:val="224"/>
        </w:trPr>
        <w:tc>
          <w:tcPr>
            <w:tcW w:w="2520" w:type="dxa"/>
            <w:tcBorders>
              <w:top w:val="nil"/>
              <w:left w:val="single" w:sz="4" w:space="0" w:color="auto"/>
              <w:bottom w:val="single" w:sz="4" w:space="0" w:color="AEAEAE"/>
              <w:right w:val="nil"/>
            </w:tcBorders>
            <w:shd w:val="clear" w:color="000000" w:fill="E0E0E0"/>
            <w:vAlign w:val="center"/>
            <w:hideMark/>
          </w:tcPr>
          <w:p w:rsidR="00740020" w:rsidRPr="009600C5" w:rsidRDefault="00740020" w:rsidP="00740020">
            <w:pPr>
              <w:spacing w:after="0" w:line="240" w:lineRule="auto"/>
              <w:jc w:val="left"/>
              <w:rPr>
                <w:rFonts w:ascii="Arial" w:eastAsia="Times New Roman" w:hAnsi="Arial" w:cs="Arial"/>
                <w:color w:val="264A60"/>
                <w:sz w:val="18"/>
                <w:szCs w:val="18"/>
                <w:lang w:eastAsia="cs-CZ"/>
              </w:rPr>
            </w:pPr>
            <w:r w:rsidRPr="009600C5">
              <w:rPr>
                <w:rFonts w:ascii="Arial" w:eastAsia="Times New Roman" w:hAnsi="Arial" w:cs="Arial"/>
                <w:color w:val="264A60"/>
                <w:sz w:val="18"/>
                <w:szCs w:val="18"/>
                <w:lang w:eastAsia="cs-CZ"/>
              </w:rPr>
              <w:t>500</w:t>
            </w:r>
            <w:r>
              <w:rPr>
                <w:rFonts w:ascii="Arial" w:eastAsia="Times New Roman" w:hAnsi="Arial" w:cs="Arial"/>
                <w:color w:val="264A60"/>
                <w:sz w:val="18"/>
                <w:szCs w:val="18"/>
                <w:lang w:eastAsia="cs-CZ"/>
              </w:rPr>
              <w:t> </w:t>
            </w:r>
            <w:r w:rsidRPr="009600C5">
              <w:rPr>
                <w:rFonts w:ascii="Arial" w:eastAsia="Times New Roman" w:hAnsi="Arial" w:cs="Arial"/>
                <w:color w:val="264A60"/>
                <w:sz w:val="18"/>
                <w:szCs w:val="18"/>
                <w:lang w:eastAsia="cs-CZ"/>
              </w:rPr>
              <w:t xml:space="preserve">000 </w:t>
            </w:r>
            <w:r>
              <w:rPr>
                <w:rFonts w:ascii="Arial" w:eastAsia="Times New Roman" w:hAnsi="Arial" w:cs="Arial"/>
                <w:color w:val="264A60"/>
                <w:sz w:val="18"/>
                <w:szCs w:val="18"/>
                <w:lang w:eastAsia="cs-CZ"/>
              </w:rPr>
              <w:t>–</w:t>
            </w:r>
            <w:r w:rsidRPr="009600C5">
              <w:rPr>
                <w:rFonts w:ascii="Arial" w:eastAsia="Times New Roman" w:hAnsi="Arial" w:cs="Arial"/>
                <w:color w:val="264A60"/>
                <w:sz w:val="18"/>
                <w:szCs w:val="18"/>
                <w:lang w:eastAsia="cs-CZ"/>
              </w:rPr>
              <w:t xml:space="preserve"> 999</w:t>
            </w:r>
            <w:r>
              <w:rPr>
                <w:rFonts w:ascii="Arial" w:eastAsia="Times New Roman" w:hAnsi="Arial" w:cs="Arial"/>
                <w:color w:val="264A60"/>
                <w:sz w:val="18"/>
                <w:szCs w:val="18"/>
                <w:lang w:eastAsia="cs-CZ"/>
              </w:rPr>
              <w:t> </w:t>
            </w:r>
            <w:r w:rsidRPr="009600C5">
              <w:rPr>
                <w:rFonts w:ascii="Arial" w:eastAsia="Times New Roman" w:hAnsi="Arial" w:cs="Arial"/>
                <w:color w:val="264A60"/>
                <w:sz w:val="18"/>
                <w:szCs w:val="18"/>
                <w:lang w:eastAsia="cs-CZ"/>
              </w:rPr>
              <w:t>999</w:t>
            </w:r>
          </w:p>
        </w:tc>
        <w:tc>
          <w:tcPr>
            <w:tcW w:w="1633" w:type="dxa"/>
            <w:tcBorders>
              <w:top w:val="nil"/>
              <w:left w:val="single" w:sz="4" w:space="0" w:color="auto"/>
              <w:bottom w:val="single" w:sz="4" w:space="0" w:color="AEAEAE"/>
              <w:right w:val="nil"/>
            </w:tcBorders>
            <w:shd w:val="clear" w:color="auto" w:fill="auto"/>
            <w:noWrap/>
            <w:vAlign w:val="center"/>
            <w:hideMark/>
          </w:tcPr>
          <w:p w:rsidR="00740020" w:rsidRPr="009600C5" w:rsidRDefault="00740020" w:rsidP="00740020">
            <w:pPr>
              <w:spacing w:after="0" w:line="240" w:lineRule="auto"/>
              <w:jc w:val="center"/>
              <w:rPr>
                <w:rFonts w:ascii="Arial" w:eastAsia="Times New Roman" w:hAnsi="Arial" w:cs="Arial"/>
                <w:color w:val="010205"/>
                <w:sz w:val="18"/>
                <w:szCs w:val="18"/>
                <w:lang w:eastAsia="cs-CZ"/>
              </w:rPr>
            </w:pPr>
            <w:r w:rsidRPr="009600C5">
              <w:rPr>
                <w:rFonts w:ascii="Arial" w:eastAsia="Times New Roman" w:hAnsi="Arial" w:cs="Arial"/>
                <w:color w:val="010205"/>
                <w:sz w:val="18"/>
                <w:szCs w:val="18"/>
                <w:lang w:eastAsia="cs-CZ"/>
              </w:rPr>
              <w:t>8,7</w:t>
            </w:r>
            <w:r>
              <w:rPr>
                <w:rFonts w:ascii="Arial" w:eastAsia="Times New Roman" w:hAnsi="Arial" w:cs="Arial"/>
                <w:color w:val="010205"/>
                <w:sz w:val="18"/>
                <w:szCs w:val="18"/>
                <w:lang w:eastAsia="cs-CZ"/>
              </w:rPr>
              <w:t xml:space="preserve"> </w:t>
            </w:r>
            <w:r w:rsidRPr="009600C5">
              <w:rPr>
                <w:rFonts w:ascii="Arial" w:eastAsia="Times New Roman" w:hAnsi="Arial" w:cs="Arial"/>
                <w:color w:val="010205"/>
                <w:sz w:val="18"/>
                <w:szCs w:val="18"/>
                <w:lang w:eastAsia="cs-CZ"/>
              </w:rPr>
              <w:t>%</w:t>
            </w:r>
          </w:p>
        </w:tc>
        <w:tc>
          <w:tcPr>
            <w:tcW w:w="1633" w:type="dxa"/>
            <w:tcBorders>
              <w:top w:val="nil"/>
              <w:left w:val="single" w:sz="4" w:space="0" w:color="E0E0E0"/>
              <w:bottom w:val="single" w:sz="4" w:space="0" w:color="AEAEAE"/>
              <w:right w:val="single" w:sz="4" w:space="0" w:color="E0E0E0"/>
            </w:tcBorders>
            <w:shd w:val="clear" w:color="auto" w:fill="auto"/>
            <w:noWrap/>
            <w:vAlign w:val="center"/>
            <w:hideMark/>
          </w:tcPr>
          <w:p w:rsidR="00740020" w:rsidRPr="009600C5" w:rsidRDefault="00740020" w:rsidP="00740020">
            <w:pPr>
              <w:spacing w:after="0" w:line="240" w:lineRule="auto"/>
              <w:jc w:val="center"/>
              <w:rPr>
                <w:rFonts w:ascii="Arial" w:eastAsia="Times New Roman" w:hAnsi="Arial" w:cs="Arial"/>
                <w:color w:val="010205"/>
                <w:sz w:val="18"/>
                <w:szCs w:val="18"/>
                <w:lang w:eastAsia="cs-CZ"/>
              </w:rPr>
            </w:pPr>
            <w:r w:rsidRPr="009600C5">
              <w:rPr>
                <w:rFonts w:ascii="Arial" w:eastAsia="Times New Roman" w:hAnsi="Arial" w:cs="Arial"/>
                <w:color w:val="010205"/>
                <w:sz w:val="18"/>
                <w:szCs w:val="18"/>
                <w:lang w:eastAsia="cs-CZ"/>
              </w:rPr>
              <w:t>11,4</w:t>
            </w:r>
            <w:r>
              <w:rPr>
                <w:rFonts w:ascii="Arial" w:eastAsia="Times New Roman" w:hAnsi="Arial" w:cs="Arial"/>
                <w:color w:val="010205"/>
                <w:sz w:val="18"/>
                <w:szCs w:val="18"/>
                <w:lang w:eastAsia="cs-CZ"/>
              </w:rPr>
              <w:t xml:space="preserve"> </w:t>
            </w:r>
            <w:r w:rsidRPr="009600C5">
              <w:rPr>
                <w:rFonts w:ascii="Arial" w:eastAsia="Times New Roman" w:hAnsi="Arial" w:cs="Arial"/>
                <w:color w:val="010205"/>
                <w:sz w:val="18"/>
                <w:szCs w:val="18"/>
                <w:lang w:eastAsia="cs-CZ"/>
              </w:rPr>
              <w:t>%</w:t>
            </w:r>
          </w:p>
        </w:tc>
        <w:tc>
          <w:tcPr>
            <w:tcW w:w="1633" w:type="dxa"/>
            <w:tcBorders>
              <w:top w:val="nil"/>
              <w:left w:val="nil"/>
              <w:bottom w:val="single" w:sz="4" w:space="0" w:color="AEAEAE"/>
              <w:right w:val="nil"/>
            </w:tcBorders>
            <w:shd w:val="clear" w:color="auto" w:fill="auto"/>
            <w:noWrap/>
            <w:vAlign w:val="center"/>
            <w:hideMark/>
          </w:tcPr>
          <w:p w:rsidR="00740020" w:rsidRPr="009600C5" w:rsidRDefault="00740020" w:rsidP="00740020">
            <w:pPr>
              <w:spacing w:after="0" w:line="240" w:lineRule="auto"/>
              <w:jc w:val="center"/>
              <w:rPr>
                <w:rFonts w:ascii="Arial" w:eastAsia="Times New Roman" w:hAnsi="Arial" w:cs="Arial"/>
                <w:color w:val="010205"/>
                <w:sz w:val="18"/>
                <w:szCs w:val="18"/>
                <w:lang w:eastAsia="cs-CZ"/>
              </w:rPr>
            </w:pPr>
            <w:r w:rsidRPr="009600C5">
              <w:rPr>
                <w:rFonts w:ascii="Arial" w:eastAsia="Times New Roman" w:hAnsi="Arial" w:cs="Arial"/>
                <w:color w:val="010205"/>
                <w:sz w:val="18"/>
                <w:szCs w:val="18"/>
                <w:lang w:eastAsia="cs-CZ"/>
              </w:rPr>
              <w:t>2,5</w:t>
            </w:r>
            <w:r>
              <w:rPr>
                <w:rFonts w:ascii="Arial" w:eastAsia="Times New Roman" w:hAnsi="Arial" w:cs="Arial"/>
                <w:color w:val="010205"/>
                <w:sz w:val="18"/>
                <w:szCs w:val="18"/>
                <w:lang w:eastAsia="cs-CZ"/>
              </w:rPr>
              <w:t xml:space="preserve"> </w:t>
            </w:r>
            <w:r w:rsidRPr="009600C5">
              <w:rPr>
                <w:rFonts w:ascii="Arial" w:eastAsia="Times New Roman" w:hAnsi="Arial" w:cs="Arial"/>
                <w:color w:val="010205"/>
                <w:sz w:val="18"/>
                <w:szCs w:val="18"/>
                <w:lang w:eastAsia="cs-CZ"/>
              </w:rPr>
              <w:t>%</w:t>
            </w:r>
          </w:p>
        </w:tc>
        <w:tc>
          <w:tcPr>
            <w:tcW w:w="1633" w:type="dxa"/>
            <w:tcBorders>
              <w:top w:val="nil"/>
              <w:left w:val="single" w:sz="4" w:space="0" w:color="auto"/>
              <w:bottom w:val="single" w:sz="4" w:space="0" w:color="AEAEAE"/>
              <w:right w:val="single" w:sz="4" w:space="0" w:color="auto"/>
            </w:tcBorders>
            <w:shd w:val="clear" w:color="auto" w:fill="auto"/>
            <w:noWrap/>
            <w:vAlign w:val="center"/>
            <w:hideMark/>
          </w:tcPr>
          <w:p w:rsidR="00740020" w:rsidRPr="009600C5" w:rsidRDefault="00740020" w:rsidP="00740020">
            <w:pPr>
              <w:spacing w:after="0" w:line="240" w:lineRule="auto"/>
              <w:jc w:val="center"/>
              <w:rPr>
                <w:rFonts w:ascii="Arial" w:eastAsia="Times New Roman" w:hAnsi="Arial" w:cs="Arial"/>
                <w:color w:val="010205"/>
                <w:sz w:val="18"/>
                <w:szCs w:val="18"/>
                <w:lang w:eastAsia="cs-CZ"/>
              </w:rPr>
            </w:pPr>
            <w:r w:rsidRPr="009600C5">
              <w:rPr>
                <w:rFonts w:ascii="Arial" w:eastAsia="Times New Roman" w:hAnsi="Arial" w:cs="Arial"/>
                <w:color w:val="010205"/>
                <w:sz w:val="18"/>
                <w:szCs w:val="18"/>
                <w:lang w:eastAsia="cs-CZ"/>
              </w:rPr>
              <w:t>7,1</w:t>
            </w:r>
            <w:r>
              <w:rPr>
                <w:rFonts w:ascii="Arial" w:eastAsia="Times New Roman" w:hAnsi="Arial" w:cs="Arial"/>
                <w:color w:val="010205"/>
                <w:sz w:val="18"/>
                <w:szCs w:val="18"/>
                <w:lang w:eastAsia="cs-CZ"/>
              </w:rPr>
              <w:t xml:space="preserve"> </w:t>
            </w:r>
            <w:r w:rsidRPr="009600C5">
              <w:rPr>
                <w:rFonts w:ascii="Arial" w:eastAsia="Times New Roman" w:hAnsi="Arial" w:cs="Arial"/>
                <w:color w:val="010205"/>
                <w:sz w:val="18"/>
                <w:szCs w:val="18"/>
                <w:lang w:eastAsia="cs-CZ"/>
              </w:rPr>
              <w:t>%</w:t>
            </w:r>
          </w:p>
        </w:tc>
      </w:tr>
      <w:tr w:rsidR="00740020" w:rsidRPr="009600C5" w:rsidTr="00740020">
        <w:trPr>
          <w:trHeight w:val="224"/>
        </w:trPr>
        <w:tc>
          <w:tcPr>
            <w:tcW w:w="2520" w:type="dxa"/>
            <w:tcBorders>
              <w:top w:val="nil"/>
              <w:left w:val="single" w:sz="4" w:space="0" w:color="auto"/>
              <w:bottom w:val="single" w:sz="4" w:space="0" w:color="AEAEAE"/>
              <w:right w:val="nil"/>
            </w:tcBorders>
            <w:shd w:val="clear" w:color="000000" w:fill="E0E0E0"/>
            <w:vAlign w:val="center"/>
            <w:hideMark/>
          </w:tcPr>
          <w:p w:rsidR="00740020" w:rsidRPr="009600C5" w:rsidRDefault="00740020" w:rsidP="00740020">
            <w:pPr>
              <w:spacing w:after="0" w:line="240" w:lineRule="auto"/>
              <w:jc w:val="left"/>
              <w:rPr>
                <w:rFonts w:ascii="Arial" w:eastAsia="Times New Roman" w:hAnsi="Arial" w:cs="Arial"/>
                <w:color w:val="264A60"/>
                <w:sz w:val="18"/>
                <w:szCs w:val="18"/>
                <w:lang w:eastAsia="cs-CZ"/>
              </w:rPr>
            </w:pPr>
            <w:r w:rsidRPr="009600C5">
              <w:rPr>
                <w:rFonts w:ascii="Arial" w:eastAsia="Times New Roman" w:hAnsi="Arial" w:cs="Arial"/>
                <w:color w:val="264A60"/>
                <w:sz w:val="18"/>
                <w:szCs w:val="18"/>
                <w:lang w:eastAsia="cs-CZ"/>
              </w:rPr>
              <w:t>1</w:t>
            </w:r>
            <w:r>
              <w:rPr>
                <w:rFonts w:ascii="Arial" w:eastAsia="Times New Roman" w:hAnsi="Arial" w:cs="Arial"/>
                <w:color w:val="264A60"/>
                <w:sz w:val="18"/>
                <w:szCs w:val="18"/>
                <w:lang w:eastAsia="cs-CZ"/>
              </w:rPr>
              <w:t> </w:t>
            </w:r>
            <w:r w:rsidRPr="009600C5">
              <w:rPr>
                <w:rFonts w:ascii="Arial" w:eastAsia="Times New Roman" w:hAnsi="Arial" w:cs="Arial"/>
                <w:color w:val="264A60"/>
                <w:sz w:val="18"/>
                <w:szCs w:val="18"/>
                <w:lang w:eastAsia="cs-CZ"/>
              </w:rPr>
              <w:t>000</w:t>
            </w:r>
            <w:r>
              <w:rPr>
                <w:rFonts w:ascii="Arial" w:eastAsia="Times New Roman" w:hAnsi="Arial" w:cs="Arial"/>
                <w:color w:val="264A60"/>
                <w:sz w:val="18"/>
                <w:szCs w:val="18"/>
                <w:lang w:eastAsia="cs-CZ"/>
              </w:rPr>
              <w:t> </w:t>
            </w:r>
            <w:r w:rsidRPr="009600C5">
              <w:rPr>
                <w:rFonts w:ascii="Arial" w:eastAsia="Times New Roman" w:hAnsi="Arial" w:cs="Arial"/>
                <w:color w:val="264A60"/>
                <w:sz w:val="18"/>
                <w:szCs w:val="18"/>
                <w:lang w:eastAsia="cs-CZ"/>
              </w:rPr>
              <w:t>000+</w:t>
            </w:r>
          </w:p>
        </w:tc>
        <w:tc>
          <w:tcPr>
            <w:tcW w:w="1633" w:type="dxa"/>
            <w:tcBorders>
              <w:top w:val="nil"/>
              <w:left w:val="single" w:sz="4" w:space="0" w:color="auto"/>
              <w:bottom w:val="single" w:sz="4" w:space="0" w:color="AEAEAE"/>
              <w:right w:val="nil"/>
            </w:tcBorders>
            <w:shd w:val="clear" w:color="auto" w:fill="auto"/>
            <w:vAlign w:val="center"/>
            <w:hideMark/>
          </w:tcPr>
          <w:p w:rsidR="00740020" w:rsidRPr="009600C5" w:rsidRDefault="00740020" w:rsidP="00740020">
            <w:pPr>
              <w:spacing w:after="0" w:line="240" w:lineRule="auto"/>
              <w:jc w:val="center"/>
              <w:rPr>
                <w:rFonts w:ascii="Arial" w:eastAsia="Times New Roman" w:hAnsi="Arial" w:cs="Arial"/>
                <w:color w:val="010205"/>
                <w:sz w:val="18"/>
                <w:szCs w:val="18"/>
                <w:lang w:eastAsia="cs-CZ"/>
              </w:rPr>
            </w:pPr>
            <w:r w:rsidRPr="009600C5">
              <w:rPr>
                <w:rFonts w:ascii="Arial" w:eastAsia="Times New Roman" w:hAnsi="Arial" w:cs="Arial"/>
                <w:color w:val="010205"/>
                <w:sz w:val="18"/>
                <w:szCs w:val="18"/>
                <w:lang w:eastAsia="cs-CZ"/>
              </w:rPr>
              <w:t> </w:t>
            </w:r>
            <w:r>
              <w:rPr>
                <w:rFonts w:ascii="Arial" w:eastAsia="Times New Roman" w:hAnsi="Arial" w:cs="Arial"/>
                <w:color w:val="010205"/>
                <w:sz w:val="18"/>
                <w:szCs w:val="18"/>
                <w:lang w:eastAsia="cs-CZ"/>
              </w:rPr>
              <w:t>0 %</w:t>
            </w:r>
          </w:p>
        </w:tc>
        <w:tc>
          <w:tcPr>
            <w:tcW w:w="1633" w:type="dxa"/>
            <w:tcBorders>
              <w:top w:val="nil"/>
              <w:left w:val="single" w:sz="4" w:space="0" w:color="E0E0E0"/>
              <w:bottom w:val="single" w:sz="4" w:space="0" w:color="AEAEAE"/>
              <w:right w:val="single" w:sz="4" w:space="0" w:color="E0E0E0"/>
            </w:tcBorders>
            <w:shd w:val="clear" w:color="auto" w:fill="auto"/>
            <w:noWrap/>
            <w:vAlign w:val="center"/>
            <w:hideMark/>
          </w:tcPr>
          <w:p w:rsidR="00740020" w:rsidRPr="009600C5" w:rsidRDefault="00740020" w:rsidP="00740020">
            <w:pPr>
              <w:spacing w:after="0" w:line="240" w:lineRule="auto"/>
              <w:jc w:val="center"/>
              <w:rPr>
                <w:rFonts w:ascii="Arial" w:eastAsia="Times New Roman" w:hAnsi="Arial" w:cs="Arial"/>
                <w:color w:val="010205"/>
                <w:sz w:val="18"/>
                <w:szCs w:val="18"/>
                <w:lang w:eastAsia="cs-CZ"/>
              </w:rPr>
            </w:pPr>
            <w:r w:rsidRPr="009600C5">
              <w:rPr>
                <w:rFonts w:ascii="Arial" w:eastAsia="Times New Roman" w:hAnsi="Arial" w:cs="Arial"/>
                <w:color w:val="010205"/>
                <w:sz w:val="18"/>
                <w:szCs w:val="18"/>
                <w:lang w:eastAsia="cs-CZ"/>
              </w:rPr>
              <w:t>11,4</w:t>
            </w:r>
            <w:r>
              <w:rPr>
                <w:rFonts w:ascii="Arial" w:eastAsia="Times New Roman" w:hAnsi="Arial" w:cs="Arial"/>
                <w:color w:val="010205"/>
                <w:sz w:val="18"/>
                <w:szCs w:val="18"/>
                <w:lang w:eastAsia="cs-CZ"/>
              </w:rPr>
              <w:t xml:space="preserve"> </w:t>
            </w:r>
            <w:r w:rsidRPr="009600C5">
              <w:rPr>
                <w:rFonts w:ascii="Arial" w:eastAsia="Times New Roman" w:hAnsi="Arial" w:cs="Arial"/>
                <w:color w:val="010205"/>
                <w:sz w:val="18"/>
                <w:szCs w:val="18"/>
                <w:lang w:eastAsia="cs-CZ"/>
              </w:rPr>
              <w:t>%</w:t>
            </w:r>
          </w:p>
        </w:tc>
        <w:tc>
          <w:tcPr>
            <w:tcW w:w="1633" w:type="dxa"/>
            <w:tcBorders>
              <w:top w:val="nil"/>
              <w:left w:val="nil"/>
              <w:bottom w:val="single" w:sz="4" w:space="0" w:color="AEAEAE"/>
              <w:right w:val="nil"/>
            </w:tcBorders>
            <w:shd w:val="clear" w:color="auto" w:fill="auto"/>
            <w:noWrap/>
            <w:vAlign w:val="center"/>
            <w:hideMark/>
          </w:tcPr>
          <w:p w:rsidR="00740020" w:rsidRPr="009600C5" w:rsidRDefault="00740020" w:rsidP="00740020">
            <w:pPr>
              <w:spacing w:after="0" w:line="240" w:lineRule="auto"/>
              <w:jc w:val="center"/>
              <w:rPr>
                <w:rFonts w:ascii="Arial" w:eastAsia="Times New Roman" w:hAnsi="Arial" w:cs="Arial"/>
                <w:color w:val="010205"/>
                <w:sz w:val="18"/>
                <w:szCs w:val="18"/>
                <w:lang w:eastAsia="cs-CZ"/>
              </w:rPr>
            </w:pPr>
            <w:r w:rsidRPr="009600C5">
              <w:rPr>
                <w:rFonts w:ascii="Arial" w:eastAsia="Times New Roman" w:hAnsi="Arial" w:cs="Arial"/>
                <w:color w:val="010205"/>
                <w:sz w:val="18"/>
                <w:szCs w:val="18"/>
                <w:lang w:eastAsia="cs-CZ"/>
              </w:rPr>
              <w:t>20,0</w:t>
            </w:r>
            <w:r>
              <w:rPr>
                <w:rFonts w:ascii="Arial" w:eastAsia="Times New Roman" w:hAnsi="Arial" w:cs="Arial"/>
                <w:color w:val="010205"/>
                <w:sz w:val="18"/>
                <w:szCs w:val="18"/>
                <w:lang w:eastAsia="cs-CZ"/>
              </w:rPr>
              <w:t xml:space="preserve"> </w:t>
            </w:r>
            <w:r w:rsidRPr="009600C5">
              <w:rPr>
                <w:rFonts w:ascii="Arial" w:eastAsia="Times New Roman" w:hAnsi="Arial" w:cs="Arial"/>
                <w:color w:val="010205"/>
                <w:sz w:val="18"/>
                <w:szCs w:val="18"/>
                <w:lang w:eastAsia="cs-CZ"/>
              </w:rPr>
              <w:t>%</w:t>
            </w:r>
          </w:p>
        </w:tc>
        <w:tc>
          <w:tcPr>
            <w:tcW w:w="1633" w:type="dxa"/>
            <w:tcBorders>
              <w:top w:val="nil"/>
              <w:left w:val="single" w:sz="4" w:space="0" w:color="auto"/>
              <w:bottom w:val="single" w:sz="4" w:space="0" w:color="AEAEAE"/>
              <w:right w:val="single" w:sz="4" w:space="0" w:color="auto"/>
            </w:tcBorders>
            <w:shd w:val="clear" w:color="auto" w:fill="auto"/>
            <w:noWrap/>
            <w:vAlign w:val="center"/>
            <w:hideMark/>
          </w:tcPr>
          <w:p w:rsidR="00740020" w:rsidRPr="009600C5" w:rsidRDefault="00740020" w:rsidP="00740020">
            <w:pPr>
              <w:spacing w:after="0" w:line="240" w:lineRule="auto"/>
              <w:jc w:val="center"/>
              <w:rPr>
                <w:rFonts w:ascii="Arial" w:eastAsia="Times New Roman" w:hAnsi="Arial" w:cs="Arial"/>
                <w:color w:val="010205"/>
                <w:sz w:val="18"/>
                <w:szCs w:val="18"/>
                <w:lang w:eastAsia="cs-CZ"/>
              </w:rPr>
            </w:pPr>
            <w:r w:rsidRPr="009600C5">
              <w:rPr>
                <w:rFonts w:ascii="Arial" w:eastAsia="Times New Roman" w:hAnsi="Arial" w:cs="Arial"/>
                <w:color w:val="010205"/>
                <w:sz w:val="18"/>
                <w:szCs w:val="18"/>
                <w:lang w:eastAsia="cs-CZ"/>
              </w:rPr>
              <w:t>12,2</w:t>
            </w:r>
            <w:r>
              <w:rPr>
                <w:rFonts w:ascii="Arial" w:eastAsia="Times New Roman" w:hAnsi="Arial" w:cs="Arial"/>
                <w:color w:val="010205"/>
                <w:sz w:val="18"/>
                <w:szCs w:val="18"/>
                <w:lang w:eastAsia="cs-CZ"/>
              </w:rPr>
              <w:t xml:space="preserve"> </w:t>
            </w:r>
            <w:r w:rsidRPr="009600C5">
              <w:rPr>
                <w:rFonts w:ascii="Arial" w:eastAsia="Times New Roman" w:hAnsi="Arial" w:cs="Arial"/>
                <w:color w:val="010205"/>
                <w:sz w:val="18"/>
                <w:szCs w:val="18"/>
                <w:lang w:eastAsia="cs-CZ"/>
              </w:rPr>
              <w:t>%</w:t>
            </w:r>
          </w:p>
        </w:tc>
      </w:tr>
      <w:tr w:rsidR="00740020" w:rsidRPr="009600C5" w:rsidTr="00740020">
        <w:trPr>
          <w:trHeight w:val="224"/>
        </w:trPr>
        <w:tc>
          <w:tcPr>
            <w:tcW w:w="2520" w:type="dxa"/>
            <w:tcBorders>
              <w:top w:val="nil"/>
              <w:left w:val="single" w:sz="4" w:space="0" w:color="auto"/>
              <w:bottom w:val="single" w:sz="4" w:space="0" w:color="auto"/>
              <w:right w:val="nil"/>
            </w:tcBorders>
            <w:shd w:val="clear" w:color="000000" w:fill="E0E0E0"/>
            <w:vAlign w:val="center"/>
            <w:hideMark/>
          </w:tcPr>
          <w:p w:rsidR="00740020" w:rsidRPr="009600C5"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Celkem</w:t>
            </w:r>
          </w:p>
        </w:tc>
        <w:tc>
          <w:tcPr>
            <w:tcW w:w="1633" w:type="dxa"/>
            <w:tcBorders>
              <w:top w:val="nil"/>
              <w:left w:val="single" w:sz="4" w:space="0" w:color="auto"/>
              <w:bottom w:val="single" w:sz="4" w:space="0" w:color="auto"/>
              <w:right w:val="nil"/>
            </w:tcBorders>
            <w:shd w:val="clear" w:color="auto" w:fill="auto"/>
            <w:noWrap/>
            <w:vAlign w:val="center"/>
            <w:hideMark/>
          </w:tcPr>
          <w:p w:rsidR="00740020" w:rsidRPr="009600C5" w:rsidRDefault="00740020" w:rsidP="00740020">
            <w:pPr>
              <w:spacing w:after="0" w:line="240" w:lineRule="auto"/>
              <w:jc w:val="center"/>
              <w:rPr>
                <w:rFonts w:ascii="Arial" w:eastAsia="Times New Roman" w:hAnsi="Arial" w:cs="Arial"/>
                <w:color w:val="010205"/>
                <w:sz w:val="18"/>
                <w:szCs w:val="18"/>
                <w:lang w:eastAsia="cs-CZ"/>
              </w:rPr>
            </w:pPr>
            <w:r w:rsidRPr="009600C5">
              <w:rPr>
                <w:rFonts w:ascii="Arial" w:eastAsia="Times New Roman" w:hAnsi="Arial" w:cs="Arial"/>
                <w:color w:val="010205"/>
                <w:sz w:val="18"/>
                <w:szCs w:val="18"/>
                <w:lang w:eastAsia="cs-CZ"/>
              </w:rPr>
              <w:t>100,0</w:t>
            </w:r>
            <w:r>
              <w:rPr>
                <w:rFonts w:ascii="Arial" w:eastAsia="Times New Roman" w:hAnsi="Arial" w:cs="Arial"/>
                <w:color w:val="010205"/>
                <w:sz w:val="18"/>
                <w:szCs w:val="18"/>
                <w:lang w:eastAsia="cs-CZ"/>
              </w:rPr>
              <w:t xml:space="preserve"> </w:t>
            </w:r>
            <w:r w:rsidRPr="009600C5">
              <w:rPr>
                <w:rFonts w:ascii="Arial" w:eastAsia="Times New Roman" w:hAnsi="Arial" w:cs="Arial"/>
                <w:color w:val="010205"/>
                <w:sz w:val="18"/>
                <w:szCs w:val="18"/>
                <w:lang w:eastAsia="cs-CZ"/>
              </w:rPr>
              <w:t>%</w:t>
            </w:r>
          </w:p>
        </w:tc>
        <w:tc>
          <w:tcPr>
            <w:tcW w:w="1633" w:type="dxa"/>
            <w:tcBorders>
              <w:top w:val="nil"/>
              <w:left w:val="single" w:sz="4" w:space="0" w:color="E0E0E0"/>
              <w:bottom w:val="single" w:sz="4" w:space="0" w:color="auto"/>
              <w:right w:val="single" w:sz="4" w:space="0" w:color="E0E0E0"/>
            </w:tcBorders>
            <w:shd w:val="clear" w:color="auto" w:fill="auto"/>
            <w:noWrap/>
            <w:vAlign w:val="center"/>
            <w:hideMark/>
          </w:tcPr>
          <w:p w:rsidR="00740020" w:rsidRPr="009600C5" w:rsidRDefault="00740020" w:rsidP="00740020">
            <w:pPr>
              <w:spacing w:after="0" w:line="240" w:lineRule="auto"/>
              <w:jc w:val="center"/>
              <w:rPr>
                <w:rFonts w:ascii="Arial" w:eastAsia="Times New Roman" w:hAnsi="Arial" w:cs="Arial"/>
                <w:color w:val="010205"/>
                <w:sz w:val="18"/>
                <w:szCs w:val="18"/>
                <w:lang w:eastAsia="cs-CZ"/>
              </w:rPr>
            </w:pPr>
            <w:r w:rsidRPr="009600C5">
              <w:rPr>
                <w:rFonts w:ascii="Arial" w:eastAsia="Times New Roman" w:hAnsi="Arial" w:cs="Arial"/>
                <w:color w:val="010205"/>
                <w:sz w:val="18"/>
                <w:szCs w:val="18"/>
                <w:lang w:eastAsia="cs-CZ"/>
              </w:rPr>
              <w:t>100,0</w:t>
            </w:r>
            <w:r>
              <w:rPr>
                <w:rFonts w:ascii="Arial" w:eastAsia="Times New Roman" w:hAnsi="Arial" w:cs="Arial"/>
                <w:color w:val="010205"/>
                <w:sz w:val="18"/>
                <w:szCs w:val="18"/>
                <w:lang w:eastAsia="cs-CZ"/>
              </w:rPr>
              <w:t xml:space="preserve"> </w:t>
            </w:r>
            <w:r w:rsidRPr="009600C5">
              <w:rPr>
                <w:rFonts w:ascii="Arial" w:eastAsia="Times New Roman" w:hAnsi="Arial" w:cs="Arial"/>
                <w:color w:val="010205"/>
                <w:sz w:val="18"/>
                <w:szCs w:val="18"/>
                <w:lang w:eastAsia="cs-CZ"/>
              </w:rPr>
              <w:t>%</w:t>
            </w:r>
          </w:p>
        </w:tc>
        <w:tc>
          <w:tcPr>
            <w:tcW w:w="1633" w:type="dxa"/>
            <w:tcBorders>
              <w:top w:val="nil"/>
              <w:left w:val="nil"/>
              <w:bottom w:val="single" w:sz="4" w:space="0" w:color="auto"/>
              <w:right w:val="nil"/>
            </w:tcBorders>
            <w:shd w:val="clear" w:color="auto" w:fill="auto"/>
            <w:noWrap/>
            <w:vAlign w:val="center"/>
            <w:hideMark/>
          </w:tcPr>
          <w:p w:rsidR="00740020" w:rsidRPr="009600C5" w:rsidRDefault="00740020" w:rsidP="00740020">
            <w:pPr>
              <w:spacing w:after="0" w:line="240" w:lineRule="auto"/>
              <w:jc w:val="center"/>
              <w:rPr>
                <w:rFonts w:ascii="Arial" w:eastAsia="Times New Roman" w:hAnsi="Arial" w:cs="Arial"/>
                <w:color w:val="010205"/>
                <w:sz w:val="18"/>
                <w:szCs w:val="18"/>
                <w:lang w:eastAsia="cs-CZ"/>
              </w:rPr>
            </w:pPr>
            <w:r w:rsidRPr="009600C5">
              <w:rPr>
                <w:rFonts w:ascii="Arial" w:eastAsia="Times New Roman" w:hAnsi="Arial" w:cs="Arial"/>
                <w:color w:val="010205"/>
                <w:sz w:val="18"/>
                <w:szCs w:val="18"/>
                <w:lang w:eastAsia="cs-CZ"/>
              </w:rPr>
              <w:t>100,0</w:t>
            </w:r>
            <w:r>
              <w:rPr>
                <w:rFonts w:ascii="Arial" w:eastAsia="Times New Roman" w:hAnsi="Arial" w:cs="Arial"/>
                <w:color w:val="010205"/>
                <w:sz w:val="18"/>
                <w:szCs w:val="18"/>
                <w:lang w:eastAsia="cs-CZ"/>
              </w:rPr>
              <w:t xml:space="preserve"> </w:t>
            </w:r>
            <w:r w:rsidRPr="009600C5">
              <w:rPr>
                <w:rFonts w:ascii="Arial" w:eastAsia="Times New Roman" w:hAnsi="Arial" w:cs="Arial"/>
                <w:color w:val="010205"/>
                <w:sz w:val="18"/>
                <w:szCs w:val="18"/>
                <w:lang w:eastAsia="cs-CZ"/>
              </w:rPr>
              <w:t>%</w:t>
            </w: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rsidR="00740020" w:rsidRPr="009600C5" w:rsidRDefault="00740020" w:rsidP="00740020">
            <w:pPr>
              <w:spacing w:after="0" w:line="240" w:lineRule="auto"/>
              <w:jc w:val="center"/>
              <w:rPr>
                <w:rFonts w:ascii="Arial" w:eastAsia="Times New Roman" w:hAnsi="Arial" w:cs="Arial"/>
                <w:color w:val="010205"/>
                <w:sz w:val="18"/>
                <w:szCs w:val="18"/>
                <w:lang w:eastAsia="cs-CZ"/>
              </w:rPr>
            </w:pPr>
            <w:r w:rsidRPr="009600C5">
              <w:rPr>
                <w:rFonts w:ascii="Arial" w:eastAsia="Times New Roman" w:hAnsi="Arial" w:cs="Arial"/>
                <w:color w:val="010205"/>
                <w:sz w:val="18"/>
                <w:szCs w:val="18"/>
                <w:lang w:eastAsia="cs-CZ"/>
              </w:rPr>
              <w:t>100,0</w:t>
            </w:r>
            <w:r>
              <w:rPr>
                <w:rFonts w:ascii="Arial" w:eastAsia="Times New Roman" w:hAnsi="Arial" w:cs="Arial"/>
                <w:color w:val="010205"/>
                <w:sz w:val="18"/>
                <w:szCs w:val="18"/>
                <w:lang w:eastAsia="cs-CZ"/>
              </w:rPr>
              <w:t xml:space="preserve"> </w:t>
            </w:r>
            <w:r w:rsidRPr="009600C5">
              <w:rPr>
                <w:rFonts w:ascii="Arial" w:eastAsia="Times New Roman" w:hAnsi="Arial" w:cs="Arial"/>
                <w:color w:val="010205"/>
                <w:sz w:val="18"/>
                <w:szCs w:val="18"/>
                <w:lang w:eastAsia="cs-CZ"/>
              </w:rPr>
              <w:t>%</w:t>
            </w:r>
          </w:p>
        </w:tc>
      </w:tr>
    </w:tbl>
    <w:p w:rsidR="00ED115D" w:rsidRDefault="00ED115D" w:rsidP="00740020"/>
    <w:p w:rsidR="00740020" w:rsidRDefault="00740020" w:rsidP="00740020">
      <w:r>
        <w:t xml:space="preserve">Z analýzy četností kategorií velikosti tržeb plyne, že největší je podíl kategorií tržeb do 50 mil. Kč a od 100 do 500 mil. Kč. Tyto kategorie jsou zastoupeny téměř shodně (35,7 % a 37,8 %) a dohromady tvoří 73,5 %. </w:t>
      </w:r>
    </w:p>
    <w:p w:rsidR="00740020" w:rsidRDefault="00740020" w:rsidP="00740020">
      <w:r>
        <w:t>K obdobným výsledkům lze dospět i analýzou četností kategorií tržeb v jednotlivých letech. Rozdíl je však možné pozorovat u podniků s tržbami nad jednu miliardu Kč, kde tři roky před moratoriem bylo takových podniků 20 %, dva roky již jen 11 % a jeden rok před moratoriem nebyl takový podnik žádný. Nicméně platí, že cca 73 % podniků, u kterých bylo vyhlášeno moratorium, se pohybovaly z hlediska velikosti tržeb v kategoriích do 50 mil. Kč a mezi 100 a 500 mil. Kč.</w:t>
      </w:r>
    </w:p>
    <w:p w:rsidR="00740020" w:rsidRDefault="00740020" w:rsidP="00740020">
      <w:r>
        <w:t>Po popsání vzorku vzhledem k vykazovaným tržbám sledovaných podniků se přesuneme ke zvoleným indikátorům finanční situace, a to jak základním, tak syntetickým ukazatelům, jejichž mírám polohy jsou věnovány následující tabulky.</w:t>
      </w:r>
    </w:p>
    <w:p w:rsidR="00ED115D" w:rsidRDefault="00ED115D" w:rsidP="00740020"/>
    <w:p w:rsidR="00740020" w:rsidRDefault="00740020" w:rsidP="00740020">
      <w:pPr>
        <w:pStyle w:val="Titulek"/>
      </w:pPr>
      <w:bookmarkStart w:id="25" w:name="_Toc506149973"/>
      <w:bookmarkStart w:id="26" w:name="_Toc31054782"/>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6</w:t>
      </w:r>
      <w:r w:rsidR="00163A91">
        <w:rPr>
          <w:noProof/>
        </w:rPr>
        <w:fldChar w:fldCharType="end"/>
      </w:r>
      <w:r>
        <w:t xml:space="preserve"> - Průměry a medián poměrových ukazatelů</w:t>
      </w:r>
      <w:bookmarkEnd w:id="25"/>
      <w:bookmarkEnd w:id="26"/>
    </w:p>
    <w:tbl>
      <w:tblPr>
        <w:tblW w:w="8505" w:type="dxa"/>
        <w:tblCellMar>
          <w:left w:w="70" w:type="dxa"/>
          <w:right w:w="70" w:type="dxa"/>
        </w:tblCellMar>
        <w:tblLook w:val="04A0"/>
      </w:tblPr>
      <w:tblGrid>
        <w:gridCol w:w="2467"/>
        <w:gridCol w:w="1156"/>
        <w:gridCol w:w="1160"/>
        <w:gridCol w:w="1210"/>
        <w:gridCol w:w="1345"/>
        <w:gridCol w:w="1210"/>
      </w:tblGrid>
      <w:tr w:rsidR="00740020" w:rsidRPr="00C03E8E" w:rsidTr="00740020">
        <w:trPr>
          <w:trHeight w:val="718"/>
        </w:trPr>
        <w:tc>
          <w:tcPr>
            <w:tcW w:w="2467" w:type="dxa"/>
            <w:tcBorders>
              <w:top w:val="single" w:sz="4" w:space="0" w:color="auto"/>
              <w:left w:val="single" w:sz="4" w:space="0" w:color="auto"/>
              <w:bottom w:val="nil"/>
              <w:right w:val="nil"/>
            </w:tcBorders>
            <w:shd w:val="clear" w:color="auto" w:fill="auto"/>
            <w:noWrap/>
            <w:vAlign w:val="center"/>
            <w:hideMark/>
          </w:tcPr>
          <w:p w:rsidR="00740020" w:rsidRPr="00C03E8E" w:rsidRDefault="00740020" w:rsidP="00740020">
            <w:pPr>
              <w:spacing w:after="0" w:line="240" w:lineRule="auto"/>
              <w:jc w:val="left"/>
              <w:rPr>
                <w:rFonts w:ascii="Calibri" w:eastAsia="Times New Roman" w:hAnsi="Calibri" w:cs="Calibri"/>
                <w:color w:val="000000"/>
                <w:lang w:eastAsia="cs-CZ"/>
              </w:rPr>
            </w:pPr>
            <w:r w:rsidRPr="00C03E8E">
              <w:rPr>
                <w:rFonts w:ascii="Calibri" w:eastAsia="Times New Roman" w:hAnsi="Calibri" w:cs="Calibri"/>
                <w:color w:val="000000"/>
                <w:sz w:val="22"/>
                <w:lang w:eastAsia="cs-CZ"/>
              </w:rPr>
              <w:t> </w:t>
            </w:r>
          </w:p>
        </w:tc>
        <w:tc>
          <w:tcPr>
            <w:tcW w:w="1156" w:type="dxa"/>
            <w:tcBorders>
              <w:top w:val="single" w:sz="4" w:space="0" w:color="auto"/>
              <w:left w:val="single" w:sz="4" w:space="0" w:color="auto"/>
              <w:bottom w:val="single" w:sz="4" w:space="0" w:color="152935"/>
              <w:right w:val="single" w:sz="4" w:space="0" w:color="E0E0E0"/>
            </w:tcBorders>
            <w:shd w:val="clear" w:color="auto" w:fill="auto"/>
            <w:vAlign w:val="center"/>
            <w:hideMark/>
          </w:tcPr>
          <w:p w:rsidR="00740020" w:rsidRPr="00C03E8E" w:rsidRDefault="00740020" w:rsidP="00740020">
            <w:pPr>
              <w:spacing w:after="0" w:line="240" w:lineRule="auto"/>
              <w:jc w:val="center"/>
              <w:rPr>
                <w:rFonts w:ascii="Arial" w:eastAsia="Times New Roman" w:hAnsi="Arial" w:cs="Arial"/>
                <w:color w:val="264A60"/>
                <w:sz w:val="18"/>
                <w:szCs w:val="18"/>
                <w:lang w:eastAsia="cs-CZ"/>
              </w:rPr>
            </w:pPr>
            <w:r w:rsidRPr="00C03E8E">
              <w:rPr>
                <w:rFonts w:ascii="Arial" w:eastAsia="Times New Roman" w:hAnsi="Arial" w:cs="Arial"/>
                <w:color w:val="264A60"/>
                <w:sz w:val="18"/>
                <w:szCs w:val="18"/>
                <w:lang w:eastAsia="cs-CZ"/>
              </w:rPr>
              <w:t>Marže primární EBITDA</w:t>
            </w:r>
          </w:p>
        </w:tc>
        <w:tc>
          <w:tcPr>
            <w:tcW w:w="1160" w:type="dxa"/>
            <w:tcBorders>
              <w:top w:val="single" w:sz="4" w:space="0" w:color="auto"/>
              <w:left w:val="single" w:sz="4" w:space="0" w:color="auto"/>
              <w:bottom w:val="single" w:sz="4" w:space="0" w:color="152935"/>
              <w:right w:val="single" w:sz="4" w:space="0" w:color="E0E0E0"/>
            </w:tcBorders>
            <w:shd w:val="clear" w:color="auto" w:fill="auto"/>
            <w:vAlign w:val="center"/>
            <w:hideMark/>
          </w:tcPr>
          <w:p w:rsidR="00740020" w:rsidRPr="00C03E8E" w:rsidRDefault="00740020" w:rsidP="00740020">
            <w:pPr>
              <w:spacing w:after="0" w:line="240" w:lineRule="auto"/>
              <w:jc w:val="center"/>
              <w:rPr>
                <w:rFonts w:ascii="Arial" w:eastAsia="Times New Roman" w:hAnsi="Arial" w:cs="Arial"/>
                <w:color w:val="264A60"/>
                <w:sz w:val="18"/>
                <w:szCs w:val="18"/>
                <w:lang w:eastAsia="cs-CZ"/>
              </w:rPr>
            </w:pPr>
            <w:r w:rsidRPr="00C03E8E">
              <w:rPr>
                <w:rFonts w:ascii="Arial" w:eastAsia="Times New Roman" w:hAnsi="Arial" w:cs="Arial"/>
                <w:color w:val="264A60"/>
                <w:sz w:val="18"/>
                <w:szCs w:val="18"/>
                <w:lang w:eastAsia="cs-CZ"/>
              </w:rPr>
              <w:t>Podíl</w:t>
            </w:r>
            <w:r>
              <w:rPr>
                <w:rFonts w:ascii="Arial" w:eastAsia="Times New Roman" w:hAnsi="Arial" w:cs="Arial"/>
                <w:color w:val="264A60"/>
                <w:sz w:val="18"/>
                <w:szCs w:val="18"/>
                <w:lang w:eastAsia="cs-CZ"/>
              </w:rPr>
              <w:t xml:space="preserve"> hotovosti na</w:t>
            </w:r>
            <w:r w:rsidRPr="00C03E8E">
              <w:rPr>
                <w:rFonts w:ascii="Arial" w:eastAsia="Times New Roman" w:hAnsi="Arial" w:cs="Arial"/>
                <w:color w:val="264A60"/>
                <w:sz w:val="18"/>
                <w:szCs w:val="18"/>
                <w:lang w:eastAsia="cs-CZ"/>
              </w:rPr>
              <w:t xml:space="preserve"> nutné hotovosti </w:t>
            </w:r>
          </w:p>
        </w:tc>
        <w:tc>
          <w:tcPr>
            <w:tcW w:w="1210" w:type="dxa"/>
            <w:tcBorders>
              <w:top w:val="single" w:sz="4" w:space="0" w:color="auto"/>
              <w:left w:val="single" w:sz="4" w:space="0" w:color="auto"/>
              <w:bottom w:val="single" w:sz="4" w:space="0" w:color="152935"/>
              <w:right w:val="single" w:sz="4" w:space="0" w:color="E0E0E0"/>
            </w:tcBorders>
            <w:shd w:val="clear" w:color="auto" w:fill="auto"/>
            <w:vAlign w:val="center"/>
            <w:hideMark/>
          </w:tcPr>
          <w:p w:rsidR="00740020" w:rsidRPr="00C03E8E" w:rsidRDefault="00740020" w:rsidP="00740020">
            <w:pPr>
              <w:spacing w:after="0" w:line="240" w:lineRule="auto"/>
              <w:jc w:val="center"/>
              <w:rPr>
                <w:rFonts w:ascii="Arial" w:eastAsia="Times New Roman" w:hAnsi="Arial" w:cs="Arial"/>
                <w:color w:val="264A60"/>
                <w:sz w:val="18"/>
                <w:szCs w:val="18"/>
                <w:lang w:eastAsia="cs-CZ"/>
              </w:rPr>
            </w:pPr>
            <w:r w:rsidRPr="00C03E8E">
              <w:rPr>
                <w:rFonts w:ascii="Arial" w:eastAsia="Times New Roman" w:hAnsi="Arial" w:cs="Arial"/>
                <w:color w:val="264A60"/>
                <w:sz w:val="18"/>
                <w:szCs w:val="18"/>
                <w:lang w:eastAsia="cs-CZ"/>
              </w:rPr>
              <w:t>Podíl aktivních a pasivních primárních NS PK</w:t>
            </w:r>
          </w:p>
        </w:tc>
        <w:tc>
          <w:tcPr>
            <w:tcW w:w="1345" w:type="dxa"/>
            <w:tcBorders>
              <w:top w:val="single" w:sz="4" w:space="0" w:color="auto"/>
              <w:left w:val="single" w:sz="4" w:space="0" w:color="auto"/>
              <w:bottom w:val="single" w:sz="4" w:space="0" w:color="152935"/>
              <w:right w:val="single" w:sz="4" w:space="0" w:color="E0E0E0"/>
            </w:tcBorders>
            <w:shd w:val="clear" w:color="auto" w:fill="auto"/>
            <w:vAlign w:val="center"/>
            <w:hideMark/>
          </w:tcPr>
          <w:p w:rsidR="00740020" w:rsidRPr="00C03E8E" w:rsidRDefault="00740020" w:rsidP="00740020">
            <w:pPr>
              <w:spacing w:after="0" w:line="240" w:lineRule="auto"/>
              <w:jc w:val="center"/>
              <w:rPr>
                <w:rFonts w:ascii="Arial" w:eastAsia="Times New Roman" w:hAnsi="Arial" w:cs="Arial"/>
                <w:color w:val="264A60"/>
                <w:sz w:val="18"/>
                <w:szCs w:val="18"/>
                <w:lang w:eastAsia="cs-CZ"/>
              </w:rPr>
            </w:pPr>
            <w:r w:rsidRPr="00C03E8E">
              <w:rPr>
                <w:rFonts w:ascii="Arial" w:eastAsia="Times New Roman" w:hAnsi="Arial" w:cs="Arial"/>
                <w:color w:val="264A60"/>
                <w:sz w:val="18"/>
                <w:szCs w:val="18"/>
                <w:lang w:eastAsia="cs-CZ"/>
              </w:rPr>
              <w:t>Celková zadluženost</w:t>
            </w:r>
          </w:p>
        </w:tc>
        <w:tc>
          <w:tcPr>
            <w:tcW w:w="1210" w:type="dxa"/>
            <w:tcBorders>
              <w:top w:val="single" w:sz="4" w:space="0" w:color="auto"/>
              <w:left w:val="single" w:sz="4" w:space="0" w:color="auto"/>
              <w:bottom w:val="single" w:sz="4" w:space="0" w:color="152935"/>
              <w:right w:val="single" w:sz="4" w:space="0" w:color="auto"/>
            </w:tcBorders>
            <w:shd w:val="clear" w:color="auto" w:fill="auto"/>
            <w:vAlign w:val="center"/>
            <w:hideMark/>
          </w:tcPr>
          <w:p w:rsidR="00740020" w:rsidRPr="00C03E8E" w:rsidRDefault="00740020" w:rsidP="00740020">
            <w:pPr>
              <w:spacing w:after="0" w:line="240" w:lineRule="auto"/>
              <w:jc w:val="center"/>
              <w:rPr>
                <w:rFonts w:ascii="Arial" w:eastAsia="Times New Roman" w:hAnsi="Arial" w:cs="Arial"/>
                <w:color w:val="264A60"/>
                <w:sz w:val="18"/>
                <w:szCs w:val="18"/>
                <w:lang w:eastAsia="cs-CZ"/>
              </w:rPr>
            </w:pPr>
            <w:r w:rsidRPr="00C03E8E">
              <w:rPr>
                <w:rFonts w:ascii="Arial" w:eastAsia="Times New Roman" w:hAnsi="Arial" w:cs="Arial"/>
                <w:color w:val="264A60"/>
                <w:sz w:val="18"/>
                <w:szCs w:val="18"/>
                <w:lang w:eastAsia="cs-CZ"/>
              </w:rPr>
              <w:t>Rentabilita aktiv - primární EBITDA</w:t>
            </w:r>
          </w:p>
        </w:tc>
      </w:tr>
      <w:tr w:rsidR="00740020" w:rsidRPr="00C03E8E" w:rsidTr="00740020">
        <w:trPr>
          <w:trHeight w:val="179"/>
        </w:trPr>
        <w:tc>
          <w:tcPr>
            <w:tcW w:w="2467" w:type="dxa"/>
            <w:tcBorders>
              <w:top w:val="single" w:sz="4" w:space="0" w:color="152935"/>
              <w:left w:val="single" w:sz="4" w:space="0" w:color="auto"/>
              <w:bottom w:val="nil"/>
              <w:right w:val="single" w:sz="4" w:space="0" w:color="auto"/>
            </w:tcBorders>
            <w:shd w:val="clear" w:color="000000" w:fill="E0E0E0"/>
            <w:vAlign w:val="center"/>
            <w:hideMark/>
          </w:tcPr>
          <w:p w:rsidR="00740020" w:rsidRPr="00C03E8E"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Průměr</w:t>
            </w:r>
          </w:p>
        </w:tc>
        <w:tc>
          <w:tcPr>
            <w:tcW w:w="1156" w:type="dxa"/>
            <w:tcBorders>
              <w:top w:val="nil"/>
              <w:left w:val="single" w:sz="4" w:space="0" w:color="auto"/>
              <w:bottom w:val="nil"/>
              <w:right w:val="single" w:sz="4" w:space="0" w:color="auto"/>
            </w:tcBorders>
            <w:shd w:val="clear" w:color="auto" w:fill="auto"/>
            <w:noWrap/>
            <w:vAlign w:val="center"/>
            <w:hideMark/>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-0,75</w:t>
            </w:r>
          </w:p>
        </w:tc>
        <w:tc>
          <w:tcPr>
            <w:tcW w:w="1160" w:type="dxa"/>
            <w:tcBorders>
              <w:top w:val="single" w:sz="4" w:space="0" w:color="AEAEAE"/>
              <w:left w:val="nil"/>
              <w:bottom w:val="nil"/>
              <w:right w:val="single" w:sz="4" w:space="0" w:color="auto"/>
            </w:tcBorders>
            <w:shd w:val="clear" w:color="auto" w:fill="auto"/>
            <w:noWrap/>
            <w:vAlign w:val="center"/>
            <w:hideMark/>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0,25</w:t>
            </w:r>
          </w:p>
        </w:tc>
        <w:tc>
          <w:tcPr>
            <w:tcW w:w="1210" w:type="dxa"/>
            <w:tcBorders>
              <w:top w:val="single" w:sz="4" w:space="0" w:color="AEAEAE"/>
              <w:left w:val="nil"/>
              <w:bottom w:val="nil"/>
              <w:right w:val="single" w:sz="4" w:space="0" w:color="auto"/>
            </w:tcBorders>
            <w:shd w:val="clear" w:color="auto" w:fill="auto"/>
            <w:noWrap/>
            <w:vAlign w:val="center"/>
            <w:hideMark/>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1,37</w:t>
            </w:r>
          </w:p>
        </w:tc>
        <w:tc>
          <w:tcPr>
            <w:tcW w:w="1345" w:type="dxa"/>
            <w:tcBorders>
              <w:top w:val="single" w:sz="4" w:space="0" w:color="AEAEAE"/>
              <w:left w:val="nil"/>
              <w:bottom w:val="nil"/>
              <w:right w:val="single" w:sz="4" w:space="0" w:color="auto"/>
            </w:tcBorders>
            <w:shd w:val="clear" w:color="auto" w:fill="auto"/>
            <w:noWrap/>
            <w:vAlign w:val="center"/>
            <w:hideMark/>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1,43</w:t>
            </w:r>
          </w:p>
        </w:tc>
        <w:tc>
          <w:tcPr>
            <w:tcW w:w="1210" w:type="dxa"/>
            <w:tcBorders>
              <w:top w:val="single" w:sz="4" w:space="0" w:color="AEAEAE"/>
              <w:left w:val="nil"/>
              <w:bottom w:val="nil"/>
              <w:right w:val="single" w:sz="4" w:space="0" w:color="auto"/>
            </w:tcBorders>
            <w:shd w:val="clear" w:color="auto" w:fill="auto"/>
            <w:noWrap/>
            <w:vAlign w:val="center"/>
            <w:hideMark/>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-0,07</w:t>
            </w:r>
          </w:p>
        </w:tc>
      </w:tr>
      <w:tr w:rsidR="00740020" w:rsidRPr="00C03E8E" w:rsidTr="00740020">
        <w:trPr>
          <w:trHeight w:val="179"/>
        </w:trPr>
        <w:tc>
          <w:tcPr>
            <w:tcW w:w="2467" w:type="dxa"/>
            <w:tcBorders>
              <w:top w:val="single" w:sz="4" w:space="0" w:color="AEAEAE"/>
              <w:left w:val="single" w:sz="4" w:space="0" w:color="auto"/>
              <w:bottom w:val="nil"/>
              <w:right w:val="single" w:sz="4" w:space="0" w:color="auto"/>
            </w:tcBorders>
            <w:shd w:val="clear" w:color="000000" w:fill="E0E0E0"/>
            <w:vAlign w:val="center"/>
            <w:hideMark/>
          </w:tcPr>
          <w:p w:rsidR="00740020" w:rsidRPr="00C03E8E" w:rsidRDefault="00740020" w:rsidP="00740020">
            <w:pPr>
              <w:spacing w:after="0" w:line="240" w:lineRule="auto"/>
              <w:jc w:val="left"/>
              <w:rPr>
                <w:rFonts w:ascii="Arial" w:eastAsia="Times New Roman" w:hAnsi="Arial" w:cs="Arial"/>
                <w:color w:val="264A60"/>
                <w:sz w:val="18"/>
                <w:szCs w:val="18"/>
                <w:lang w:eastAsia="cs-CZ"/>
              </w:rPr>
            </w:pPr>
            <w:r w:rsidRPr="00C03E8E">
              <w:rPr>
                <w:rFonts w:ascii="Arial" w:eastAsia="Times New Roman" w:hAnsi="Arial" w:cs="Arial"/>
                <w:color w:val="264A60"/>
                <w:sz w:val="18"/>
                <w:szCs w:val="18"/>
                <w:lang w:eastAsia="cs-CZ"/>
              </w:rPr>
              <w:t xml:space="preserve">5% </w:t>
            </w:r>
            <w:r>
              <w:rPr>
                <w:rFonts w:ascii="Arial" w:eastAsia="Times New Roman" w:hAnsi="Arial" w:cs="Arial"/>
                <w:color w:val="264A60"/>
                <w:sz w:val="18"/>
                <w:szCs w:val="18"/>
                <w:lang w:eastAsia="cs-CZ"/>
              </w:rPr>
              <w:t>Redukovaný průměr</w:t>
            </w:r>
          </w:p>
        </w:tc>
        <w:tc>
          <w:tcPr>
            <w:tcW w:w="1156" w:type="dxa"/>
            <w:tcBorders>
              <w:top w:val="single" w:sz="4" w:space="0" w:color="AEAEAE"/>
              <w:left w:val="single" w:sz="4" w:space="0" w:color="auto"/>
              <w:bottom w:val="nil"/>
              <w:right w:val="single" w:sz="4" w:space="0" w:color="auto"/>
            </w:tcBorders>
            <w:shd w:val="clear" w:color="auto" w:fill="auto"/>
            <w:noWrap/>
            <w:vAlign w:val="center"/>
            <w:hideMark/>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-0,14</w:t>
            </w:r>
          </w:p>
        </w:tc>
        <w:tc>
          <w:tcPr>
            <w:tcW w:w="1160" w:type="dxa"/>
            <w:tcBorders>
              <w:top w:val="single" w:sz="4" w:space="0" w:color="AEAEAE"/>
              <w:left w:val="nil"/>
              <w:bottom w:val="nil"/>
              <w:right w:val="single" w:sz="4" w:space="0" w:color="auto"/>
            </w:tcBorders>
            <w:shd w:val="clear" w:color="auto" w:fill="auto"/>
            <w:noWrap/>
            <w:vAlign w:val="center"/>
            <w:hideMark/>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0,22</w:t>
            </w:r>
          </w:p>
        </w:tc>
        <w:tc>
          <w:tcPr>
            <w:tcW w:w="1210" w:type="dxa"/>
            <w:tcBorders>
              <w:top w:val="single" w:sz="4" w:space="0" w:color="AEAEAE"/>
              <w:left w:val="nil"/>
              <w:bottom w:val="nil"/>
              <w:right w:val="single" w:sz="4" w:space="0" w:color="auto"/>
            </w:tcBorders>
            <w:shd w:val="clear" w:color="auto" w:fill="auto"/>
            <w:noWrap/>
            <w:vAlign w:val="center"/>
            <w:hideMark/>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1,25</w:t>
            </w:r>
          </w:p>
        </w:tc>
        <w:tc>
          <w:tcPr>
            <w:tcW w:w="1345" w:type="dxa"/>
            <w:tcBorders>
              <w:top w:val="single" w:sz="4" w:space="0" w:color="AEAEAE"/>
              <w:left w:val="nil"/>
              <w:bottom w:val="nil"/>
              <w:right w:val="single" w:sz="4" w:space="0" w:color="auto"/>
            </w:tcBorders>
            <w:shd w:val="clear" w:color="auto" w:fill="auto"/>
            <w:noWrap/>
            <w:vAlign w:val="center"/>
            <w:hideMark/>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0,94</w:t>
            </w:r>
          </w:p>
        </w:tc>
        <w:tc>
          <w:tcPr>
            <w:tcW w:w="1210" w:type="dxa"/>
            <w:tcBorders>
              <w:top w:val="single" w:sz="4" w:space="0" w:color="AEAEAE"/>
              <w:left w:val="nil"/>
              <w:bottom w:val="nil"/>
              <w:right w:val="single" w:sz="4" w:space="0" w:color="auto"/>
            </w:tcBorders>
            <w:shd w:val="clear" w:color="auto" w:fill="auto"/>
            <w:noWrap/>
            <w:vAlign w:val="center"/>
            <w:hideMark/>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-0,04</w:t>
            </w:r>
          </w:p>
        </w:tc>
      </w:tr>
      <w:tr w:rsidR="00740020" w:rsidRPr="00C03E8E" w:rsidTr="00740020">
        <w:trPr>
          <w:trHeight w:val="179"/>
        </w:trPr>
        <w:tc>
          <w:tcPr>
            <w:tcW w:w="2467" w:type="dxa"/>
            <w:tcBorders>
              <w:top w:val="single" w:sz="4" w:space="0" w:color="AEAEAE"/>
              <w:left w:val="single" w:sz="4" w:space="0" w:color="auto"/>
              <w:bottom w:val="single" w:sz="4" w:space="0" w:color="auto"/>
              <w:right w:val="single" w:sz="4" w:space="0" w:color="auto"/>
            </w:tcBorders>
            <w:shd w:val="clear" w:color="000000" w:fill="E0E0E0"/>
            <w:vAlign w:val="center"/>
            <w:hideMark/>
          </w:tcPr>
          <w:p w:rsidR="00740020" w:rsidRPr="00C03E8E"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Medián</w:t>
            </w:r>
          </w:p>
        </w:tc>
        <w:tc>
          <w:tcPr>
            <w:tcW w:w="1156" w:type="dxa"/>
            <w:tcBorders>
              <w:top w:val="single" w:sz="4" w:space="0" w:color="AEAEAE"/>
              <w:left w:val="single" w:sz="4" w:space="0" w:color="auto"/>
              <w:bottom w:val="single" w:sz="4" w:space="0" w:color="auto"/>
              <w:right w:val="single" w:sz="4" w:space="0" w:color="auto"/>
            </w:tcBorders>
            <w:shd w:val="clear" w:color="auto" w:fill="auto"/>
            <w:noWrap/>
            <w:vAlign w:val="center"/>
            <w:hideMark/>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-0,03</w:t>
            </w:r>
          </w:p>
        </w:tc>
        <w:tc>
          <w:tcPr>
            <w:tcW w:w="1160" w:type="dxa"/>
            <w:tcBorders>
              <w:top w:val="single" w:sz="4" w:space="0" w:color="AEAEAE"/>
              <w:left w:val="nil"/>
              <w:bottom w:val="single" w:sz="4" w:space="0" w:color="auto"/>
              <w:right w:val="single" w:sz="4" w:space="0" w:color="auto"/>
            </w:tcBorders>
            <w:shd w:val="clear" w:color="auto" w:fill="auto"/>
            <w:noWrap/>
            <w:vAlign w:val="center"/>
            <w:hideMark/>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0,10</w:t>
            </w:r>
          </w:p>
        </w:tc>
        <w:tc>
          <w:tcPr>
            <w:tcW w:w="1210" w:type="dxa"/>
            <w:tcBorders>
              <w:top w:val="single" w:sz="4" w:space="0" w:color="AEAEAE"/>
              <w:left w:val="nil"/>
              <w:bottom w:val="single" w:sz="4" w:space="0" w:color="auto"/>
              <w:right w:val="single" w:sz="4" w:space="0" w:color="auto"/>
            </w:tcBorders>
            <w:shd w:val="clear" w:color="auto" w:fill="auto"/>
            <w:noWrap/>
            <w:vAlign w:val="center"/>
            <w:hideMark/>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0,96</w:t>
            </w:r>
          </w:p>
        </w:tc>
        <w:tc>
          <w:tcPr>
            <w:tcW w:w="1345" w:type="dxa"/>
            <w:tcBorders>
              <w:top w:val="single" w:sz="4" w:space="0" w:color="AEAEAE"/>
              <w:left w:val="nil"/>
              <w:bottom w:val="single" w:sz="4" w:space="0" w:color="auto"/>
              <w:right w:val="single" w:sz="4" w:space="0" w:color="auto"/>
            </w:tcBorders>
            <w:shd w:val="clear" w:color="auto" w:fill="auto"/>
            <w:noWrap/>
            <w:vAlign w:val="center"/>
            <w:hideMark/>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0,89</w:t>
            </w:r>
          </w:p>
        </w:tc>
        <w:tc>
          <w:tcPr>
            <w:tcW w:w="1210" w:type="dxa"/>
            <w:tcBorders>
              <w:top w:val="single" w:sz="4" w:space="0" w:color="AEAEAE"/>
              <w:left w:val="nil"/>
              <w:bottom w:val="single" w:sz="4" w:space="0" w:color="auto"/>
              <w:right w:val="single" w:sz="4" w:space="0" w:color="auto"/>
            </w:tcBorders>
            <w:shd w:val="clear" w:color="auto" w:fill="auto"/>
            <w:noWrap/>
            <w:vAlign w:val="center"/>
            <w:hideMark/>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-0,02</w:t>
            </w:r>
          </w:p>
        </w:tc>
      </w:tr>
    </w:tbl>
    <w:p w:rsidR="00ED115D" w:rsidRDefault="00ED115D" w:rsidP="00740020">
      <w:pPr>
        <w:pStyle w:val="Titulek"/>
      </w:pPr>
      <w:bookmarkStart w:id="27" w:name="_Toc506149974"/>
    </w:p>
    <w:p w:rsidR="00740020" w:rsidRDefault="00740020" w:rsidP="00740020">
      <w:pPr>
        <w:pStyle w:val="Titulek"/>
      </w:pPr>
      <w:bookmarkStart w:id="28" w:name="_Toc31054783"/>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7</w:t>
      </w:r>
      <w:r w:rsidR="00163A91">
        <w:rPr>
          <w:noProof/>
        </w:rPr>
        <w:fldChar w:fldCharType="end"/>
      </w:r>
      <w:r>
        <w:t xml:space="preserve"> – Průměry a medián syntetických ukazatelů</w:t>
      </w:r>
      <w:bookmarkEnd w:id="27"/>
      <w:bookmarkEnd w:id="28"/>
    </w:p>
    <w:tbl>
      <w:tblPr>
        <w:tblW w:w="8505" w:type="dxa"/>
        <w:tblCellMar>
          <w:left w:w="70" w:type="dxa"/>
          <w:right w:w="70" w:type="dxa"/>
        </w:tblCellMar>
        <w:tblLook w:val="04A0"/>
      </w:tblPr>
      <w:tblGrid>
        <w:gridCol w:w="3733"/>
        <w:gridCol w:w="1773"/>
        <w:gridCol w:w="1519"/>
        <w:gridCol w:w="1480"/>
      </w:tblGrid>
      <w:tr w:rsidR="00740020" w:rsidRPr="00C03E8E" w:rsidTr="00740020">
        <w:trPr>
          <w:trHeight w:val="581"/>
        </w:trPr>
        <w:tc>
          <w:tcPr>
            <w:tcW w:w="3733" w:type="dxa"/>
            <w:tcBorders>
              <w:top w:val="single" w:sz="4" w:space="0" w:color="auto"/>
              <w:left w:val="single" w:sz="4" w:space="0" w:color="auto"/>
              <w:bottom w:val="nil"/>
              <w:right w:val="nil"/>
            </w:tcBorders>
            <w:shd w:val="clear" w:color="auto" w:fill="auto"/>
            <w:noWrap/>
            <w:vAlign w:val="center"/>
            <w:hideMark/>
          </w:tcPr>
          <w:p w:rsidR="00740020" w:rsidRPr="00C03E8E" w:rsidRDefault="00740020" w:rsidP="00740020">
            <w:pPr>
              <w:spacing w:after="0" w:line="240" w:lineRule="auto"/>
              <w:jc w:val="left"/>
              <w:rPr>
                <w:rFonts w:ascii="Calibri" w:eastAsia="Times New Roman" w:hAnsi="Calibri" w:cs="Calibri"/>
                <w:color w:val="000000"/>
                <w:lang w:eastAsia="cs-CZ"/>
              </w:rPr>
            </w:pPr>
            <w:r w:rsidRPr="00C03E8E">
              <w:rPr>
                <w:rFonts w:ascii="Calibri" w:eastAsia="Times New Roman" w:hAnsi="Calibri" w:cs="Calibri"/>
                <w:color w:val="000000"/>
                <w:sz w:val="22"/>
                <w:lang w:eastAsia="cs-CZ"/>
              </w:rPr>
              <w:t> </w:t>
            </w:r>
          </w:p>
        </w:tc>
        <w:tc>
          <w:tcPr>
            <w:tcW w:w="1773" w:type="dxa"/>
            <w:tcBorders>
              <w:top w:val="single" w:sz="4" w:space="0" w:color="auto"/>
              <w:left w:val="single" w:sz="4" w:space="0" w:color="auto"/>
              <w:bottom w:val="single" w:sz="4" w:space="0" w:color="152935"/>
              <w:right w:val="single" w:sz="4" w:space="0" w:color="E0E0E0"/>
            </w:tcBorders>
            <w:shd w:val="clear" w:color="auto" w:fill="auto"/>
            <w:vAlign w:val="center"/>
            <w:hideMark/>
          </w:tcPr>
          <w:p w:rsidR="00740020" w:rsidRPr="00C03E8E" w:rsidRDefault="00740020" w:rsidP="00740020">
            <w:pPr>
              <w:spacing w:after="0" w:line="240" w:lineRule="auto"/>
              <w:jc w:val="center"/>
              <w:rPr>
                <w:rFonts w:ascii="Arial" w:eastAsia="Times New Roman" w:hAnsi="Arial" w:cs="Arial"/>
                <w:color w:val="264A60"/>
                <w:sz w:val="18"/>
                <w:szCs w:val="18"/>
                <w:lang w:eastAsia="cs-CZ"/>
              </w:rPr>
            </w:pPr>
            <w:r w:rsidRPr="00C03E8E">
              <w:rPr>
                <w:rFonts w:ascii="Arial" w:eastAsia="Times New Roman" w:hAnsi="Arial" w:cs="Arial"/>
                <w:color w:val="264A60"/>
                <w:sz w:val="18"/>
                <w:szCs w:val="18"/>
                <w:lang w:eastAsia="cs-CZ"/>
              </w:rPr>
              <w:t>Index IN05</w:t>
            </w:r>
          </w:p>
        </w:tc>
        <w:tc>
          <w:tcPr>
            <w:tcW w:w="1773" w:type="dxa"/>
            <w:tcBorders>
              <w:top w:val="single" w:sz="4" w:space="0" w:color="auto"/>
              <w:left w:val="single" w:sz="4" w:space="0" w:color="auto"/>
              <w:bottom w:val="single" w:sz="4" w:space="0" w:color="152935"/>
              <w:right w:val="single" w:sz="4" w:space="0" w:color="auto"/>
            </w:tcBorders>
            <w:vAlign w:val="center"/>
          </w:tcPr>
          <w:p w:rsidR="00740020" w:rsidRPr="00C03E8E" w:rsidRDefault="00740020" w:rsidP="00740020">
            <w:pPr>
              <w:spacing w:after="0" w:line="240" w:lineRule="auto"/>
              <w:jc w:val="center"/>
              <w:rPr>
                <w:rFonts w:ascii="Arial" w:eastAsia="Times New Roman" w:hAnsi="Arial" w:cs="Arial"/>
                <w:color w:val="264A60"/>
                <w:sz w:val="18"/>
                <w:szCs w:val="18"/>
                <w:lang w:eastAsia="cs-CZ"/>
              </w:rPr>
            </w:pPr>
            <w:r w:rsidRPr="00C03E8E">
              <w:rPr>
                <w:rFonts w:ascii="Arial" w:eastAsia="Times New Roman" w:hAnsi="Arial" w:cs="Arial"/>
                <w:color w:val="264A60"/>
                <w:sz w:val="18"/>
                <w:szCs w:val="18"/>
                <w:lang w:eastAsia="cs-CZ"/>
              </w:rPr>
              <w:t>Altmanovo Z-skóre</w:t>
            </w:r>
          </w:p>
        </w:tc>
        <w:tc>
          <w:tcPr>
            <w:tcW w:w="1773" w:type="dxa"/>
            <w:tcBorders>
              <w:top w:val="single" w:sz="4" w:space="0" w:color="auto"/>
              <w:left w:val="single" w:sz="4" w:space="0" w:color="auto"/>
              <w:bottom w:val="single" w:sz="4" w:space="0" w:color="152935"/>
              <w:right w:val="single" w:sz="4" w:space="0" w:color="auto"/>
            </w:tcBorders>
            <w:vAlign w:val="center"/>
          </w:tcPr>
          <w:p w:rsidR="00740020" w:rsidRPr="00C03E8E" w:rsidRDefault="00740020" w:rsidP="00740020">
            <w:pPr>
              <w:spacing w:after="0" w:line="240" w:lineRule="auto"/>
              <w:jc w:val="center"/>
              <w:rPr>
                <w:rFonts w:ascii="Arial" w:eastAsia="Times New Roman" w:hAnsi="Arial" w:cs="Arial"/>
                <w:color w:val="264A60"/>
                <w:sz w:val="18"/>
                <w:szCs w:val="18"/>
                <w:lang w:eastAsia="cs-CZ"/>
              </w:rPr>
            </w:pPr>
            <w:r w:rsidRPr="00C03E8E">
              <w:rPr>
                <w:rFonts w:ascii="Arial" w:eastAsia="Times New Roman" w:hAnsi="Arial" w:cs="Arial"/>
                <w:color w:val="264A60"/>
                <w:sz w:val="18"/>
                <w:szCs w:val="18"/>
                <w:lang w:eastAsia="cs-CZ"/>
              </w:rPr>
              <w:t>Kralickův Rychlý test</w:t>
            </w:r>
          </w:p>
        </w:tc>
      </w:tr>
      <w:tr w:rsidR="00740020" w:rsidRPr="00C03E8E" w:rsidTr="00740020">
        <w:trPr>
          <w:trHeight w:val="145"/>
        </w:trPr>
        <w:tc>
          <w:tcPr>
            <w:tcW w:w="3733" w:type="dxa"/>
            <w:tcBorders>
              <w:top w:val="single" w:sz="4" w:space="0" w:color="152935"/>
              <w:left w:val="single" w:sz="4" w:space="0" w:color="auto"/>
              <w:bottom w:val="nil"/>
              <w:right w:val="single" w:sz="4" w:space="0" w:color="auto"/>
            </w:tcBorders>
            <w:shd w:val="clear" w:color="000000" w:fill="E0E0E0"/>
            <w:vAlign w:val="center"/>
            <w:hideMark/>
          </w:tcPr>
          <w:p w:rsidR="00740020" w:rsidRPr="00C03E8E"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Průměr</w:t>
            </w:r>
          </w:p>
        </w:tc>
        <w:tc>
          <w:tcPr>
            <w:tcW w:w="1773" w:type="dxa"/>
            <w:tcBorders>
              <w:top w:val="single" w:sz="4" w:space="0" w:color="AEAEAE"/>
              <w:left w:val="nil"/>
              <w:bottom w:val="nil"/>
              <w:right w:val="single" w:sz="4" w:space="0" w:color="auto"/>
            </w:tcBorders>
            <w:shd w:val="clear" w:color="auto" w:fill="auto"/>
            <w:noWrap/>
            <w:vAlign w:val="center"/>
            <w:hideMark/>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0,12</w:t>
            </w:r>
          </w:p>
        </w:tc>
        <w:tc>
          <w:tcPr>
            <w:tcW w:w="1773" w:type="dxa"/>
            <w:tcBorders>
              <w:top w:val="single" w:sz="4" w:space="0" w:color="AEAEAE"/>
              <w:left w:val="nil"/>
              <w:bottom w:val="nil"/>
              <w:right w:val="single" w:sz="4" w:space="0" w:color="auto"/>
            </w:tcBorders>
            <w:vAlign w:val="center"/>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0,12</w:t>
            </w:r>
          </w:p>
        </w:tc>
        <w:tc>
          <w:tcPr>
            <w:tcW w:w="1773" w:type="dxa"/>
            <w:tcBorders>
              <w:top w:val="single" w:sz="4" w:space="0" w:color="AEAEAE"/>
              <w:left w:val="single" w:sz="4" w:space="0" w:color="auto"/>
              <w:bottom w:val="nil"/>
              <w:right w:val="single" w:sz="4" w:space="0" w:color="auto"/>
            </w:tcBorders>
            <w:vAlign w:val="center"/>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4,19</w:t>
            </w:r>
          </w:p>
        </w:tc>
      </w:tr>
      <w:tr w:rsidR="00740020" w:rsidRPr="00C03E8E" w:rsidTr="00740020">
        <w:trPr>
          <w:trHeight w:val="145"/>
        </w:trPr>
        <w:tc>
          <w:tcPr>
            <w:tcW w:w="3733" w:type="dxa"/>
            <w:tcBorders>
              <w:top w:val="single" w:sz="4" w:space="0" w:color="AEAEAE"/>
              <w:left w:val="single" w:sz="4" w:space="0" w:color="auto"/>
              <w:bottom w:val="nil"/>
              <w:right w:val="single" w:sz="4" w:space="0" w:color="auto"/>
            </w:tcBorders>
            <w:shd w:val="clear" w:color="000000" w:fill="E0E0E0"/>
            <w:vAlign w:val="center"/>
            <w:hideMark/>
          </w:tcPr>
          <w:p w:rsidR="00740020" w:rsidRPr="00C03E8E" w:rsidRDefault="00740020" w:rsidP="00740020">
            <w:pPr>
              <w:spacing w:after="0" w:line="240" w:lineRule="auto"/>
              <w:jc w:val="left"/>
              <w:rPr>
                <w:rFonts w:ascii="Arial" w:eastAsia="Times New Roman" w:hAnsi="Arial" w:cs="Arial"/>
                <w:color w:val="264A60"/>
                <w:sz w:val="18"/>
                <w:szCs w:val="18"/>
                <w:lang w:eastAsia="cs-CZ"/>
              </w:rPr>
            </w:pPr>
            <w:r w:rsidRPr="00C03E8E">
              <w:rPr>
                <w:rFonts w:ascii="Arial" w:eastAsia="Times New Roman" w:hAnsi="Arial" w:cs="Arial"/>
                <w:color w:val="264A60"/>
                <w:sz w:val="18"/>
                <w:szCs w:val="18"/>
                <w:lang w:eastAsia="cs-CZ"/>
              </w:rPr>
              <w:t xml:space="preserve">5% </w:t>
            </w:r>
            <w:r>
              <w:rPr>
                <w:rFonts w:ascii="Arial" w:eastAsia="Times New Roman" w:hAnsi="Arial" w:cs="Arial"/>
                <w:color w:val="264A60"/>
                <w:sz w:val="18"/>
                <w:szCs w:val="18"/>
                <w:lang w:eastAsia="cs-CZ"/>
              </w:rPr>
              <w:t>Redukovaný průměr</w:t>
            </w:r>
          </w:p>
        </w:tc>
        <w:tc>
          <w:tcPr>
            <w:tcW w:w="1773" w:type="dxa"/>
            <w:tcBorders>
              <w:top w:val="single" w:sz="4" w:space="0" w:color="AEAEAE"/>
              <w:left w:val="nil"/>
              <w:bottom w:val="nil"/>
              <w:right w:val="single" w:sz="4" w:space="0" w:color="auto"/>
            </w:tcBorders>
            <w:shd w:val="clear" w:color="auto" w:fill="auto"/>
            <w:noWrap/>
            <w:vAlign w:val="center"/>
            <w:hideMark/>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0,19</w:t>
            </w:r>
          </w:p>
        </w:tc>
        <w:tc>
          <w:tcPr>
            <w:tcW w:w="1773" w:type="dxa"/>
            <w:tcBorders>
              <w:top w:val="single" w:sz="4" w:space="0" w:color="AEAEAE"/>
              <w:left w:val="nil"/>
              <w:bottom w:val="nil"/>
              <w:right w:val="single" w:sz="4" w:space="0" w:color="auto"/>
            </w:tcBorders>
            <w:vAlign w:val="center"/>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0,78</w:t>
            </w:r>
          </w:p>
        </w:tc>
        <w:tc>
          <w:tcPr>
            <w:tcW w:w="1773" w:type="dxa"/>
            <w:tcBorders>
              <w:top w:val="single" w:sz="4" w:space="0" w:color="AEAEAE"/>
              <w:left w:val="single" w:sz="4" w:space="0" w:color="auto"/>
              <w:bottom w:val="nil"/>
              <w:right w:val="single" w:sz="4" w:space="0" w:color="auto"/>
            </w:tcBorders>
            <w:vAlign w:val="center"/>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4,22</w:t>
            </w:r>
          </w:p>
        </w:tc>
      </w:tr>
      <w:tr w:rsidR="00740020" w:rsidRPr="00C03E8E" w:rsidTr="00740020">
        <w:trPr>
          <w:trHeight w:val="145"/>
        </w:trPr>
        <w:tc>
          <w:tcPr>
            <w:tcW w:w="3733" w:type="dxa"/>
            <w:tcBorders>
              <w:top w:val="single" w:sz="4" w:space="0" w:color="AEAEAE"/>
              <w:left w:val="single" w:sz="4" w:space="0" w:color="auto"/>
              <w:bottom w:val="single" w:sz="4" w:space="0" w:color="auto"/>
              <w:right w:val="single" w:sz="4" w:space="0" w:color="auto"/>
            </w:tcBorders>
            <w:shd w:val="clear" w:color="000000" w:fill="E0E0E0"/>
            <w:vAlign w:val="center"/>
            <w:hideMark/>
          </w:tcPr>
          <w:p w:rsidR="00740020" w:rsidRPr="00C03E8E"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Medián</w:t>
            </w:r>
          </w:p>
        </w:tc>
        <w:tc>
          <w:tcPr>
            <w:tcW w:w="1773" w:type="dxa"/>
            <w:tcBorders>
              <w:top w:val="single" w:sz="4" w:space="0" w:color="AEAEAE"/>
              <w:left w:val="nil"/>
              <w:bottom w:val="single" w:sz="4" w:space="0" w:color="auto"/>
              <w:right w:val="single" w:sz="4" w:space="0" w:color="auto"/>
            </w:tcBorders>
            <w:shd w:val="clear" w:color="auto" w:fill="auto"/>
            <w:noWrap/>
            <w:vAlign w:val="center"/>
            <w:hideMark/>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0,32</w:t>
            </w:r>
          </w:p>
        </w:tc>
        <w:tc>
          <w:tcPr>
            <w:tcW w:w="1773" w:type="dxa"/>
            <w:tcBorders>
              <w:top w:val="single" w:sz="4" w:space="0" w:color="AEAEAE"/>
              <w:left w:val="nil"/>
              <w:bottom w:val="single" w:sz="4" w:space="0" w:color="auto"/>
              <w:right w:val="single" w:sz="4" w:space="0" w:color="auto"/>
            </w:tcBorders>
            <w:vAlign w:val="center"/>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0,82</w:t>
            </w:r>
          </w:p>
        </w:tc>
        <w:tc>
          <w:tcPr>
            <w:tcW w:w="1773" w:type="dxa"/>
            <w:tcBorders>
              <w:top w:val="single" w:sz="4" w:space="0" w:color="AEAEAE"/>
              <w:left w:val="single" w:sz="4" w:space="0" w:color="auto"/>
              <w:bottom w:val="single" w:sz="4" w:space="0" w:color="auto"/>
              <w:right w:val="single" w:sz="4" w:space="0" w:color="auto"/>
            </w:tcBorders>
            <w:vAlign w:val="center"/>
          </w:tcPr>
          <w:p w:rsidR="00740020" w:rsidRPr="00C03E8E" w:rsidRDefault="00740020" w:rsidP="00740020">
            <w:pPr>
              <w:spacing w:after="0" w:line="240" w:lineRule="auto"/>
              <w:jc w:val="center"/>
              <w:rPr>
                <w:rFonts w:ascii="Arial" w:eastAsia="Times New Roman" w:hAnsi="Arial" w:cs="Arial"/>
                <w:color w:val="010205"/>
                <w:sz w:val="18"/>
                <w:szCs w:val="18"/>
                <w:lang w:eastAsia="cs-CZ"/>
              </w:rPr>
            </w:pPr>
            <w:r w:rsidRPr="00C03E8E">
              <w:rPr>
                <w:rFonts w:ascii="Arial" w:eastAsia="Times New Roman" w:hAnsi="Arial" w:cs="Arial"/>
                <w:color w:val="010205"/>
                <w:sz w:val="18"/>
                <w:szCs w:val="18"/>
                <w:lang w:eastAsia="cs-CZ"/>
              </w:rPr>
              <w:t>4,25</w:t>
            </w:r>
          </w:p>
        </w:tc>
      </w:tr>
    </w:tbl>
    <w:p w:rsidR="00740020" w:rsidRDefault="00740020" w:rsidP="00740020">
      <w:pPr>
        <w:pStyle w:val="Bezmezer"/>
      </w:pPr>
    </w:p>
    <w:p w:rsidR="00ED115D" w:rsidRPr="00CF2403" w:rsidRDefault="00ED115D" w:rsidP="00740020">
      <w:pPr>
        <w:pStyle w:val="Bezmezer"/>
      </w:pPr>
    </w:p>
    <w:p w:rsidR="00740020" w:rsidRDefault="00740020" w:rsidP="00740020">
      <w:r>
        <w:t>Z analýzy průměru a mediánu plyne, že soubor obsahuje u některých ukazatelů řadu odlehlých hodnot. To je patrné zejména z porovnání celkového průměru a redukovaného průměru, ze kterého jsou vyloučeny okrajové hodnoty. Např. u marže primární EBITDA je průměr -75 %, avšak redukovaný průměr představuje -14 %. Dále např. průměr Altmanova Z-skóre je 0,12, avšak redukovaný průměr je 0,78. U všech poměrových ukazatelů je pak medián nižší než jejich průměr.</w:t>
      </w:r>
    </w:p>
    <w:p w:rsidR="00740020" w:rsidRDefault="00740020" w:rsidP="00740020">
      <w:r>
        <w:lastRenderedPageBreak/>
        <w:t xml:space="preserve">Z analýzy je patrné, že vyjma podílu aktivních a pasivních primárních NS PK jsou u podniků, které vstoupily do režimu moratoria, </w:t>
      </w:r>
      <w:r w:rsidRPr="007E348D">
        <w:t>redukovan</w:t>
      </w:r>
      <w:r>
        <w:t>ý</w:t>
      </w:r>
      <w:r w:rsidRPr="007E348D">
        <w:t xml:space="preserve"> průměr i</w:t>
      </w:r>
      <w:r>
        <w:t> </w:t>
      </w:r>
      <w:r w:rsidRPr="007E348D">
        <w:t xml:space="preserve">medián na velmi neuspokojivé úrovni a </w:t>
      </w:r>
      <w:r>
        <w:t>ukazují na</w:t>
      </w:r>
      <w:r w:rsidRPr="00DA27B7">
        <w:rPr>
          <w:b/>
        </w:rPr>
        <w:t xml:space="preserve"> zápornou marži</w:t>
      </w:r>
      <w:r>
        <w:rPr>
          <w:b/>
        </w:rPr>
        <w:t>,</w:t>
      </w:r>
      <w:r w:rsidRPr="00DA27B7">
        <w:rPr>
          <w:b/>
        </w:rPr>
        <w:t xml:space="preserve"> </w:t>
      </w:r>
      <w:r>
        <w:rPr>
          <w:b/>
        </w:rPr>
        <w:t xml:space="preserve">zápornou </w:t>
      </w:r>
      <w:r w:rsidRPr="00DA27B7">
        <w:rPr>
          <w:b/>
        </w:rPr>
        <w:t>rentabilitu, nedostatek nutné hotovosti a vysoké celkové za</w:t>
      </w:r>
      <w:r>
        <w:rPr>
          <w:b/>
        </w:rPr>
        <w:t>d</w:t>
      </w:r>
      <w:r w:rsidRPr="00DA27B7">
        <w:rPr>
          <w:b/>
        </w:rPr>
        <w:t>lužení</w:t>
      </w:r>
      <w:r>
        <w:rPr>
          <w:b/>
        </w:rPr>
        <w:t xml:space="preserve">, </w:t>
      </w:r>
      <w:r w:rsidRPr="00C61C5F">
        <w:t>přičemž každá z těchto charakteristik je určitým znakem zhoršeného finančního stavu podniku</w:t>
      </w:r>
      <w:r>
        <w:t>.</w:t>
      </w:r>
    </w:p>
    <w:p w:rsidR="00740020" w:rsidRDefault="00740020" w:rsidP="00740020">
      <w:r>
        <w:t>Hodnoty marže primární EBITDA v </w:t>
      </w:r>
      <w:r w:rsidR="00163A91">
        <w:rPr>
          <w:highlight w:val="yellow"/>
        </w:rPr>
        <w:fldChar w:fldCharType="begin"/>
      </w:r>
      <w:r>
        <w:instrText xml:space="preserve"> REF _Ref527788894 \h </w:instrText>
      </w:r>
      <w:r w:rsidR="00163A91">
        <w:rPr>
          <w:highlight w:val="yellow"/>
        </w:rPr>
      </w:r>
      <w:r w:rsidR="00163A91">
        <w:rPr>
          <w:highlight w:val="yellow"/>
        </w:rPr>
        <w:fldChar w:fldCharType="separate"/>
      </w:r>
      <w:r>
        <w:t xml:space="preserve">Tabulka </w:t>
      </w:r>
      <w:r>
        <w:rPr>
          <w:noProof/>
        </w:rPr>
        <w:t>8</w:t>
      </w:r>
      <w:r w:rsidR="00163A91">
        <w:rPr>
          <w:highlight w:val="yellow"/>
        </w:rPr>
        <w:fldChar w:fldCharType="end"/>
      </w:r>
      <w:r>
        <w:t xml:space="preserve"> ukazují, že většina firem nebyla schopna dosáhnout zisku ani při započítání nákladů pouze na výkonovou spotřebu a zaměstnance. Ukazatel marže EBITDA je dále rozpracován, a to zužováním a rozšiřováním nákladů o další položky. Marže přidané hodnoty nepracuje již ani s náklady na zaměstnance, marže provozní EBITDA zahrnuje při výpočtu veškeré provozní náklady kromě odpisů a marže celkové EBITDA veškeré náklady kromě odpisů a nákladových úroků. Rozšiřování množství započítaných nákladů ukazuje zhoršující se stav společností. Ukazuje se, že klíčovou oblastí tvořící ztrátu je oblast provozní.</w:t>
      </w:r>
    </w:p>
    <w:p w:rsidR="00ED115D" w:rsidRDefault="00ED115D" w:rsidP="00740020"/>
    <w:p w:rsidR="00740020" w:rsidRDefault="00740020" w:rsidP="00740020">
      <w:pPr>
        <w:pStyle w:val="Titulek"/>
      </w:pPr>
      <w:bookmarkStart w:id="29" w:name="_Ref527788894"/>
      <w:bookmarkStart w:id="30" w:name="_Toc31054784"/>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8</w:t>
      </w:r>
      <w:r w:rsidR="00163A91">
        <w:rPr>
          <w:noProof/>
        </w:rPr>
        <w:fldChar w:fldCharType="end"/>
      </w:r>
      <w:bookmarkEnd w:id="29"/>
      <w:r>
        <w:t xml:space="preserve"> – Průměry a medián jednotlivých úrovní marže</w:t>
      </w:r>
      <w:bookmarkEnd w:id="30"/>
    </w:p>
    <w:tbl>
      <w:tblPr>
        <w:tblW w:w="8505" w:type="dxa"/>
        <w:tblCellMar>
          <w:left w:w="70" w:type="dxa"/>
          <w:right w:w="70" w:type="dxa"/>
        </w:tblCellMar>
        <w:tblLook w:val="04A0"/>
      </w:tblPr>
      <w:tblGrid>
        <w:gridCol w:w="2097"/>
        <w:gridCol w:w="1602"/>
        <w:gridCol w:w="1602"/>
        <w:gridCol w:w="1602"/>
        <w:gridCol w:w="1602"/>
      </w:tblGrid>
      <w:tr w:rsidR="00740020" w:rsidRPr="00037CAA" w:rsidTr="00740020">
        <w:trPr>
          <w:trHeight w:val="470"/>
        </w:trPr>
        <w:tc>
          <w:tcPr>
            <w:tcW w:w="2664" w:type="dxa"/>
            <w:tcBorders>
              <w:top w:val="single" w:sz="4" w:space="0" w:color="auto"/>
              <w:left w:val="single" w:sz="4" w:space="0" w:color="auto"/>
              <w:bottom w:val="single" w:sz="4" w:space="0" w:color="152935"/>
              <w:right w:val="nil"/>
            </w:tcBorders>
            <w:shd w:val="clear" w:color="auto" w:fill="auto"/>
            <w:vAlign w:val="center"/>
            <w:hideMark/>
          </w:tcPr>
          <w:p w:rsidR="00740020" w:rsidRPr="00037CAA" w:rsidRDefault="00740020" w:rsidP="00740020">
            <w:pPr>
              <w:spacing w:after="0" w:line="240" w:lineRule="auto"/>
              <w:jc w:val="left"/>
              <w:rPr>
                <w:rFonts w:ascii="Arial" w:eastAsia="Times New Roman" w:hAnsi="Arial" w:cs="Arial"/>
                <w:color w:val="264A60"/>
                <w:sz w:val="18"/>
                <w:szCs w:val="18"/>
                <w:lang w:eastAsia="cs-CZ"/>
              </w:rPr>
            </w:pPr>
            <w:r w:rsidRPr="00037CAA">
              <w:rPr>
                <w:rFonts w:ascii="Arial" w:eastAsia="Times New Roman" w:hAnsi="Arial" w:cs="Arial"/>
                <w:color w:val="264A60"/>
                <w:sz w:val="18"/>
                <w:szCs w:val="18"/>
                <w:lang w:eastAsia="cs-CZ"/>
              </w:rPr>
              <w:t> </w:t>
            </w:r>
          </w:p>
        </w:tc>
        <w:tc>
          <w:tcPr>
            <w:tcW w:w="1602" w:type="dxa"/>
            <w:tcBorders>
              <w:top w:val="single" w:sz="4" w:space="0" w:color="auto"/>
              <w:left w:val="single" w:sz="4" w:space="0" w:color="auto"/>
              <w:bottom w:val="single" w:sz="4" w:space="0" w:color="152935"/>
              <w:right w:val="single" w:sz="4" w:space="0" w:color="E0E0E0"/>
            </w:tcBorders>
            <w:shd w:val="clear" w:color="auto" w:fill="auto"/>
            <w:vAlign w:val="center"/>
            <w:hideMark/>
          </w:tcPr>
          <w:p w:rsidR="00740020" w:rsidRPr="00037CAA" w:rsidRDefault="00740020" w:rsidP="00740020">
            <w:pPr>
              <w:spacing w:after="0" w:line="240" w:lineRule="auto"/>
              <w:jc w:val="center"/>
              <w:rPr>
                <w:rFonts w:ascii="Arial" w:eastAsia="Times New Roman" w:hAnsi="Arial" w:cs="Arial"/>
                <w:color w:val="264A60"/>
                <w:sz w:val="18"/>
                <w:szCs w:val="18"/>
                <w:lang w:eastAsia="cs-CZ"/>
              </w:rPr>
            </w:pPr>
            <w:r w:rsidRPr="00037CAA">
              <w:rPr>
                <w:rFonts w:ascii="Arial" w:eastAsia="Times New Roman" w:hAnsi="Arial" w:cs="Arial"/>
                <w:color w:val="264A60"/>
                <w:sz w:val="18"/>
                <w:szCs w:val="18"/>
                <w:lang w:eastAsia="cs-CZ"/>
              </w:rPr>
              <w:t>Marže přidané hodnoty</w:t>
            </w:r>
          </w:p>
        </w:tc>
        <w:tc>
          <w:tcPr>
            <w:tcW w:w="1602" w:type="dxa"/>
            <w:tcBorders>
              <w:top w:val="single" w:sz="4" w:space="0" w:color="auto"/>
              <w:left w:val="nil"/>
              <w:bottom w:val="single" w:sz="4" w:space="0" w:color="152935"/>
              <w:right w:val="single" w:sz="4" w:space="0" w:color="E0E0E0"/>
            </w:tcBorders>
            <w:shd w:val="clear" w:color="auto" w:fill="auto"/>
            <w:vAlign w:val="center"/>
            <w:hideMark/>
          </w:tcPr>
          <w:p w:rsidR="00740020" w:rsidRPr="00037CAA" w:rsidRDefault="00740020" w:rsidP="00740020">
            <w:pPr>
              <w:spacing w:after="0" w:line="240" w:lineRule="auto"/>
              <w:jc w:val="center"/>
              <w:rPr>
                <w:rFonts w:ascii="Arial" w:eastAsia="Times New Roman" w:hAnsi="Arial" w:cs="Arial"/>
                <w:color w:val="264A60"/>
                <w:sz w:val="18"/>
                <w:szCs w:val="18"/>
                <w:lang w:eastAsia="cs-CZ"/>
              </w:rPr>
            </w:pPr>
            <w:r w:rsidRPr="00037CAA">
              <w:rPr>
                <w:rFonts w:ascii="Arial" w:eastAsia="Times New Roman" w:hAnsi="Arial" w:cs="Arial"/>
                <w:color w:val="264A60"/>
                <w:sz w:val="18"/>
                <w:szCs w:val="18"/>
                <w:lang w:eastAsia="cs-CZ"/>
              </w:rPr>
              <w:t>Marže primární EBITDA</w:t>
            </w:r>
          </w:p>
        </w:tc>
        <w:tc>
          <w:tcPr>
            <w:tcW w:w="1602" w:type="dxa"/>
            <w:tcBorders>
              <w:top w:val="single" w:sz="4" w:space="0" w:color="auto"/>
              <w:left w:val="nil"/>
              <w:bottom w:val="single" w:sz="4" w:space="0" w:color="152935"/>
              <w:right w:val="single" w:sz="4" w:space="0" w:color="E0E0E0"/>
            </w:tcBorders>
            <w:shd w:val="clear" w:color="auto" w:fill="auto"/>
            <w:vAlign w:val="center"/>
            <w:hideMark/>
          </w:tcPr>
          <w:p w:rsidR="00740020" w:rsidRPr="00037CAA" w:rsidRDefault="00740020" w:rsidP="00740020">
            <w:pPr>
              <w:spacing w:after="0" w:line="240" w:lineRule="auto"/>
              <w:jc w:val="center"/>
              <w:rPr>
                <w:rFonts w:ascii="Arial" w:eastAsia="Times New Roman" w:hAnsi="Arial" w:cs="Arial"/>
                <w:color w:val="264A60"/>
                <w:sz w:val="18"/>
                <w:szCs w:val="18"/>
                <w:lang w:eastAsia="cs-CZ"/>
              </w:rPr>
            </w:pPr>
            <w:r w:rsidRPr="00037CAA">
              <w:rPr>
                <w:rFonts w:ascii="Arial" w:eastAsia="Times New Roman" w:hAnsi="Arial" w:cs="Arial"/>
                <w:color w:val="264A60"/>
                <w:sz w:val="18"/>
                <w:szCs w:val="18"/>
                <w:lang w:eastAsia="cs-CZ"/>
              </w:rPr>
              <w:t>Marže provozní EBITDA</w:t>
            </w:r>
          </w:p>
        </w:tc>
        <w:tc>
          <w:tcPr>
            <w:tcW w:w="1602" w:type="dxa"/>
            <w:tcBorders>
              <w:top w:val="single" w:sz="4" w:space="0" w:color="auto"/>
              <w:left w:val="nil"/>
              <w:bottom w:val="single" w:sz="4" w:space="0" w:color="152935"/>
              <w:right w:val="single" w:sz="4" w:space="0" w:color="auto"/>
            </w:tcBorders>
            <w:shd w:val="clear" w:color="auto" w:fill="auto"/>
            <w:vAlign w:val="center"/>
            <w:hideMark/>
          </w:tcPr>
          <w:p w:rsidR="00740020" w:rsidRPr="00037CAA" w:rsidRDefault="00740020" w:rsidP="00740020">
            <w:pPr>
              <w:spacing w:after="0" w:line="240" w:lineRule="auto"/>
              <w:jc w:val="center"/>
              <w:rPr>
                <w:rFonts w:ascii="Arial" w:eastAsia="Times New Roman" w:hAnsi="Arial" w:cs="Arial"/>
                <w:color w:val="264A60"/>
                <w:sz w:val="18"/>
                <w:szCs w:val="18"/>
                <w:lang w:eastAsia="cs-CZ"/>
              </w:rPr>
            </w:pPr>
            <w:r w:rsidRPr="00037CAA">
              <w:rPr>
                <w:rFonts w:ascii="Arial" w:eastAsia="Times New Roman" w:hAnsi="Arial" w:cs="Arial"/>
                <w:color w:val="264A60"/>
                <w:sz w:val="18"/>
                <w:szCs w:val="18"/>
                <w:lang w:eastAsia="cs-CZ"/>
              </w:rPr>
              <w:t>Marže EBITDA</w:t>
            </w:r>
          </w:p>
        </w:tc>
      </w:tr>
      <w:tr w:rsidR="00740020" w:rsidRPr="00037CAA" w:rsidTr="00740020">
        <w:trPr>
          <w:trHeight w:val="196"/>
        </w:trPr>
        <w:tc>
          <w:tcPr>
            <w:tcW w:w="2664" w:type="dxa"/>
            <w:tcBorders>
              <w:top w:val="nil"/>
              <w:left w:val="single" w:sz="4" w:space="0" w:color="auto"/>
              <w:bottom w:val="nil"/>
              <w:right w:val="nil"/>
            </w:tcBorders>
            <w:shd w:val="clear" w:color="000000" w:fill="E0E0E0"/>
            <w:vAlign w:val="center"/>
            <w:hideMark/>
          </w:tcPr>
          <w:p w:rsidR="00740020" w:rsidRPr="00037CAA"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Průměr</w:t>
            </w:r>
          </w:p>
        </w:tc>
        <w:tc>
          <w:tcPr>
            <w:tcW w:w="1602" w:type="dxa"/>
            <w:tcBorders>
              <w:top w:val="nil"/>
              <w:left w:val="single" w:sz="4" w:space="0" w:color="auto"/>
              <w:bottom w:val="nil"/>
              <w:right w:val="single" w:sz="4" w:space="0" w:color="E0E0E0"/>
            </w:tcBorders>
            <w:shd w:val="clear" w:color="auto" w:fill="auto"/>
            <w:noWrap/>
            <w:vAlign w:val="center"/>
            <w:hideMark/>
          </w:tcPr>
          <w:p w:rsidR="00740020" w:rsidRPr="00037CAA" w:rsidRDefault="00740020" w:rsidP="00740020">
            <w:pPr>
              <w:spacing w:after="0" w:line="240" w:lineRule="auto"/>
              <w:jc w:val="center"/>
              <w:rPr>
                <w:rFonts w:ascii="Arial" w:eastAsia="Times New Roman" w:hAnsi="Arial" w:cs="Arial"/>
                <w:color w:val="010205"/>
                <w:sz w:val="18"/>
                <w:szCs w:val="18"/>
                <w:lang w:eastAsia="cs-CZ"/>
              </w:rPr>
            </w:pPr>
            <w:r w:rsidRPr="00037CAA">
              <w:rPr>
                <w:rFonts w:ascii="Arial" w:eastAsia="Times New Roman" w:hAnsi="Arial" w:cs="Arial"/>
                <w:color w:val="010205"/>
                <w:sz w:val="18"/>
                <w:szCs w:val="18"/>
                <w:lang w:eastAsia="cs-CZ"/>
              </w:rPr>
              <w:t>-0,27</w:t>
            </w:r>
          </w:p>
        </w:tc>
        <w:tc>
          <w:tcPr>
            <w:tcW w:w="1602" w:type="dxa"/>
            <w:tcBorders>
              <w:top w:val="single" w:sz="4" w:space="0" w:color="AEAEAE"/>
              <w:left w:val="nil"/>
              <w:bottom w:val="nil"/>
              <w:right w:val="single" w:sz="4" w:space="0" w:color="E0E0E0"/>
            </w:tcBorders>
            <w:shd w:val="clear" w:color="auto" w:fill="auto"/>
            <w:noWrap/>
            <w:vAlign w:val="center"/>
            <w:hideMark/>
          </w:tcPr>
          <w:p w:rsidR="00740020" w:rsidRPr="00037CAA" w:rsidRDefault="00740020" w:rsidP="00740020">
            <w:pPr>
              <w:spacing w:after="0" w:line="240" w:lineRule="auto"/>
              <w:jc w:val="center"/>
              <w:rPr>
                <w:rFonts w:ascii="Arial" w:eastAsia="Times New Roman" w:hAnsi="Arial" w:cs="Arial"/>
                <w:color w:val="010205"/>
                <w:sz w:val="18"/>
                <w:szCs w:val="18"/>
                <w:lang w:eastAsia="cs-CZ"/>
              </w:rPr>
            </w:pPr>
            <w:r w:rsidRPr="00037CAA">
              <w:rPr>
                <w:rFonts w:ascii="Arial" w:eastAsia="Times New Roman" w:hAnsi="Arial" w:cs="Arial"/>
                <w:color w:val="010205"/>
                <w:sz w:val="18"/>
                <w:szCs w:val="18"/>
                <w:lang w:eastAsia="cs-CZ"/>
              </w:rPr>
              <w:t>-0,75</w:t>
            </w:r>
          </w:p>
        </w:tc>
        <w:tc>
          <w:tcPr>
            <w:tcW w:w="1602" w:type="dxa"/>
            <w:tcBorders>
              <w:top w:val="single" w:sz="4" w:space="0" w:color="AEAEAE"/>
              <w:left w:val="nil"/>
              <w:bottom w:val="nil"/>
              <w:right w:val="single" w:sz="4" w:space="0" w:color="E0E0E0"/>
            </w:tcBorders>
            <w:shd w:val="clear" w:color="auto" w:fill="auto"/>
            <w:noWrap/>
            <w:vAlign w:val="center"/>
            <w:hideMark/>
          </w:tcPr>
          <w:p w:rsidR="00740020" w:rsidRPr="00037CAA" w:rsidRDefault="00740020" w:rsidP="00740020">
            <w:pPr>
              <w:spacing w:after="0" w:line="240" w:lineRule="auto"/>
              <w:jc w:val="center"/>
              <w:rPr>
                <w:rFonts w:ascii="Arial" w:eastAsia="Times New Roman" w:hAnsi="Arial" w:cs="Arial"/>
                <w:color w:val="010205"/>
                <w:sz w:val="18"/>
                <w:szCs w:val="18"/>
                <w:lang w:eastAsia="cs-CZ"/>
              </w:rPr>
            </w:pPr>
            <w:r w:rsidRPr="00037CAA">
              <w:rPr>
                <w:rFonts w:ascii="Arial" w:eastAsia="Times New Roman" w:hAnsi="Arial" w:cs="Arial"/>
                <w:color w:val="010205"/>
                <w:sz w:val="18"/>
                <w:szCs w:val="18"/>
                <w:lang w:eastAsia="cs-CZ"/>
              </w:rPr>
              <w:t>-1,43</w:t>
            </w:r>
          </w:p>
        </w:tc>
        <w:tc>
          <w:tcPr>
            <w:tcW w:w="1602" w:type="dxa"/>
            <w:tcBorders>
              <w:top w:val="single" w:sz="4" w:space="0" w:color="AEAEAE"/>
              <w:left w:val="nil"/>
              <w:bottom w:val="nil"/>
              <w:right w:val="single" w:sz="4" w:space="0" w:color="auto"/>
            </w:tcBorders>
            <w:shd w:val="clear" w:color="auto" w:fill="auto"/>
            <w:noWrap/>
            <w:vAlign w:val="center"/>
            <w:hideMark/>
          </w:tcPr>
          <w:p w:rsidR="00740020" w:rsidRPr="00037CAA" w:rsidRDefault="00740020" w:rsidP="00740020">
            <w:pPr>
              <w:spacing w:after="0" w:line="240" w:lineRule="auto"/>
              <w:jc w:val="center"/>
              <w:rPr>
                <w:rFonts w:ascii="Arial" w:eastAsia="Times New Roman" w:hAnsi="Arial" w:cs="Arial"/>
                <w:color w:val="010205"/>
                <w:sz w:val="18"/>
                <w:szCs w:val="18"/>
                <w:lang w:eastAsia="cs-CZ"/>
              </w:rPr>
            </w:pPr>
            <w:r w:rsidRPr="00037CAA">
              <w:rPr>
                <w:rFonts w:ascii="Arial" w:eastAsia="Times New Roman" w:hAnsi="Arial" w:cs="Arial"/>
                <w:color w:val="010205"/>
                <w:sz w:val="18"/>
                <w:szCs w:val="18"/>
                <w:lang w:eastAsia="cs-CZ"/>
              </w:rPr>
              <w:t>-1,50</w:t>
            </w:r>
          </w:p>
        </w:tc>
      </w:tr>
      <w:tr w:rsidR="00740020" w:rsidRPr="00037CAA" w:rsidTr="00740020">
        <w:trPr>
          <w:trHeight w:val="196"/>
        </w:trPr>
        <w:tc>
          <w:tcPr>
            <w:tcW w:w="2664" w:type="dxa"/>
            <w:tcBorders>
              <w:top w:val="single" w:sz="4" w:space="0" w:color="AEAEAE"/>
              <w:left w:val="single" w:sz="4" w:space="0" w:color="auto"/>
              <w:bottom w:val="nil"/>
              <w:right w:val="nil"/>
            </w:tcBorders>
            <w:shd w:val="clear" w:color="000000" w:fill="E0E0E0"/>
            <w:vAlign w:val="center"/>
            <w:hideMark/>
          </w:tcPr>
          <w:p w:rsidR="00740020" w:rsidRPr="00037CAA" w:rsidRDefault="00740020" w:rsidP="00740020">
            <w:pPr>
              <w:spacing w:after="0" w:line="240" w:lineRule="auto"/>
              <w:jc w:val="left"/>
              <w:rPr>
                <w:rFonts w:ascii="Arial" w:eastAsia="Times New Roman" w:hAnsi="Arial" w:cs="Arial"/>
                <w:color w:val="264A60"/>
                <w:sz w:val="18"/>
                <w:szCs w:val="18"/>
                <w:lang w:eastAsia="cs-CZ"/>
              </w:rPr>
            </w:pPr>
            <w:r w:rsidRPr="00037CAA">
              <w:rPr>
                <w:rFonts w:ascii="Arial" w:eastAsia="Times New Roman" w:hAnsi="Arial" w:cs="Arial"/>
                <w:color w:val="264A60"/>
                <w:sz w:val="18"/>
                <w:szCs w:val="18"/>
                <w:lang w:eastAsia="cs-CZ"/>
              </w:rPr>
              <w:t xml:space="preserve">5% </w:t>
            </w:r>
            <w:r>
              <w:rPr>
                <w:rFonts w:ascii="Arial" w:eastAsia="Times New Roman" w:hAnsi="Arial" w:cs="Arial"/>
                <w:color w:val="264A60"/>
                <w:sz w:val="18"/>
                <w:szCs w:val="18"/>
                <w:lang w:eastAsia="cs-CZ"/>
              </w:rPr>
              <w:t>Redukovaný průměr</w:t>
            </w:r>
          </w:p>
        </w:tc>
        <w:tc>
          <w:tcPr>
            <w:tcW w:w="1602" w:type="dxa"/>
            <w:tcBorders>
              <w:top w:val="single" w:sz="4" w:space="0" w:color="AEAEAE"/>
              <w:left w:val="single" w:sz="4" w:space="0" w:color="auto"/>
              <w:bottom w:val="nil"/>
              <w:right w:val="single" w:sz="4" w:space="0" w:color="E0E0E0"/>
            </w:tcBorders>
            <w:shd w:val="clear" w:color="auto" w:fill="auto"/>
            <w:noWrap/>
            <w:vAlign w:val="center"/>
            <w:hideMark/>
          </w:tcPr>
          <w:p w:rsidR="00740020" w:rsidRPr="00037CAA" w:rsidRDefault="00740020" w:rsidP="00740020">
            <w:pPr>
              <w:spacing w:after="0" w:line="240" w:lineRule="auto"/>
              <w:jc w:val="center"/>
              <w:rPr>
                <w:rFonts w:ascii="Arial" w:eastAsia="Times New Roman" w:hAnsi="Arial" w:cs="Arial"/>
                <w:color w:val="010205"/>
                <w:sz w:val="18"/>
                <w:szCs w:val="18"/>
                <w:lang w:eastAsia="cs-CZ"/>
              </w:rPr>
            </w:pPr>
            <w:r w:rsidRPr="00037CAA">
              <w:rPr>
                <w:rFonts w:ascii="Arial" w:eastAsia="Times New Roman" w:hAnsi="Arial" w:cs="Arial"/>
                <w:color w:val="010205"/>
                <w:sz w:val="18"/>
                <w:szCs w:val="18"/>
                <w:lang w:eastAsia="cs-CZ"/>
              </w:rPr>
              <w:t>0,11</w:t>
            </w:r>
          </w:p>
        </w:tc>
        <w:tc>
          <w:tcPr>
            <w:tcW w:w="1602" w:type="dxa"/>
            <w:tcBorders>
              <w:top w:val="single" w:sz="4" w:space="0" w:color="AEAEAE"/>
              <w:left w:val="nil"/>
              <w:bottom w:val="nil"/>
              <w:right w:val="single" w:sz="4" w:space="0" w:color="E0E0E0"/>
            </w:tcBorders>
            <w:shd w:val="clear" w:color="auto" w:fill="auto"/>
            <w:noWrap/>
            <w:vAlign w:val="center"/>
            <w:hideMark/>
          </w:tcPr>
          <w:p w:rsidR="00740020" w:rsidRPr="00037CAA" w:rsidRDefault="00740020" w:rsidP="00740020">
            <w:pPr>
              <w:spacing w:after="0" w:line="240" w:lineRule="auto"/>
              <w:jc w:val="center"/>
              <w:rPr>
                <w:rFonts w:ascii="Arial" w:eastAsia="Times New Roman" w:hAnsi="Arial" w:cs="Arial"/>
                <w:color w:val="010205"/>
                <w:sz w:val="18"/>
                <w:szCs w:val="18"/>
                <w:lang w:eastAsia="cs-CZ"/>
              </w:rPr>
            </w:pPr>
            <w:r w:rsidRPr="00037CAA">
              <w:rPr>
                <w:rFonts w:ascii="Arial" w:eastAsia="Times New Roman" w:hAnsi="Arial" w:cs="Arial"/>
                <w:color w:val="010205"/>
                <w:sz w:val="18"/>
                <w:szCs w:val="18"/>
                <w:lang w:eastAsia="cs-CZ"/>
              </w:rPr>
              <w:t>-0,14</w:t>
            </w:r>
          </w:p>
        </w:tc>
        <w:tc>
          <w:tcPr>
            <w:tcW w:w="1602" w:type="dxa"/>
            <w:tcBorders>
              <w:top w:val="single" w:sz="4" w:space="0" w:color="AEAEAE"/>
              <w:left w:val="nil"/>
              <w:bottom w:val="nil"/>
              <w:right w:val="single" w:sz="4" w:space="0" w:color="E0E0E0"/>
            </w:tcBorders>
            <w:shd w:val="clear" w:color="auto" w:fill="auto"/>
            <w:noWrap/>
            <w:vAlign w:val="center"/>
            <w:hideMark/>
          </w:tcPr>
          <w:p w:rsidR="00740020" w:rsidRPr="00037CAA" w:rsidRDefault="00740020" w:rsidP="00740020">
            <w:pPr>
              <w:spacing w:after="0" w:line="240" w:lineRule="auto"/>
              <w:jc w:val="center"/>
              <w:rPr>
                <w:rFonts w:ascii="Arial" w:eastAsia="Times New Roman" w:hAnsi="Arial" w:cs="Arial"/>
                <w:color w:val="010205"/>
                <w:sz w:val="18"/>
                <w:szCs w:val="18"/>
                <w:lang w:eastAsia="cs-CZ"/>
              </w:rPr>
            </w:pPr>
            <w:r w:rsidRPr="00037CAA">
              <w:rPr>
                <w:rFonts w:ascii="Arial" w:eastAsia="Times New Roman" w:hAnsi="Arial" w:cs="Arial"/>
                <w:color w:val="010205"/>
                <w:sz w:val="18"/>
                <w:szCs w:val="18"/>
                <w:lang w:eastAsia="cs-CZ"/>
              </w:rPr>
              <w:t>-0,17</w:t>
            </w:r>
          </w:p>
        </w:tc>
        <w:tc>
          <w:tcPr>
            <w:tcW w:w="1602" w:type="dxa"/>
            <w:tcBorders>
              <w:top w:val="single" w:sz="4" w:space="0" w:color="AEAEAE"/>
              <w:left w:val="nil"/>
              <w:bottom w:val="nil"/>
              <w:right w:val="single" w:sz="4" w:space="0" w:color="auto"/>
            </w:tcBorders>
            <w:shd w:val="clear" w:color="auto" w:fill="auto"/>
            <w:noWrap/>
            <w:vAlign w:val="center"/>
            <w:hideMark/>
          </w:tcPr>
          <w:p w:rsidR="00740020" w:rsidRPr="00037CAA" w:rsidRDefault="00740020" w:rsidP="00740020">
            <w:pPr>
              <w:spacing w:after="0" w:line="240" w:lineRule="auto"/>
              <w:jc w:val="center"/>
              <w:rPr>
                <w:rFonts w:ascii="Arial" w:eastAsia="Times New Roman" w:hAnsi="Arial" w:cs="Arial"/>
                <w:color w:val="010205"/>
                <w:sz w:val="18"/>
                <w:szCs w:val="18"/>
                <w:lang w:eastAsia="cs-CZ"/>
              </w:rPr>
            </w:pPr>
            <w:r w:rsidRPr="00037CAA">
              <w:rPr>
                <w:rFonts w:ascii="Arial" w:eastAsia="Times New Roman" w:hAnsi="Arial" w:cs="Arial"/>
                <w:color w:val="010205"/>
                <w:sz w:val="18"/>
                <w:szCs w:val="18"/>
                <w:lang w:eastAsia="cs-CZ"/>
              </w:rPr>
              <w:t>-0,18</w:t>
            </w:r>
          </w:p>
        </w:tc>
      </w:tr>
      <w:tr w:rsidR="00740020" w:rsidRPr="00037CAA" w:rsidTr="00740020">
        <w:trPr>
          <w:trHeight w:val="196"/>
        </w:trPr>
        <w:tc>
          <w:tcPr>
            <w:tcW w:w="2664" w:type="dxa"/>
            <w:tcBorders>
              <w:top w:val="single" w:sz="4" w:space="0" w:color="AEAEAE"/>
              <w:left w:val="single" w:sz="4" w:space="0" w:color="auto"/>
              <w:bottom w:val="single" w:sz="4" w:space="0" w:color="auto"/>
              <w:right w:val="nil"/>
            </w:tcBorders>
            <w:shd w:val="clear" w:color="000000" w:fill="E0E0E0"/>
            <w:vAlign w:val="center"/>
            <w:hideMark/>
          </w:tcPr>
          <w:p w:rsidR="00740020" w:rsidRPr="00037CAA"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Medián</w:t>
            </w:r>
          </w:p>
        </w:tc>
        <w:tc>
          <w:tcPr>
            <w:tcW w:w="1602" w:type="dxa"/>
            <w:tcBorders>
              <w:top w:val="single" w:sz="4" w:space="0" w:color="AEAEAE"/>
              <w:left w:val="single" w:sz="4" w:space="0" w:color="auto"/>
              <w:bottom w:val="single" w:sz="4" w:space="0" w:color="auto"/>
              <w:right w:val="single" w:sz="4" w:space="0" w:color="E0E0E0"/>
            </w:tcBorders>
            <w:shd w:val="clear" w:color="auto" w:fill="auto"/>
            <w:noWrap/>
            <w:vAlign w:val="center"/>
            <w:hideMark/>
          </w:tcPr>
          <w:p w:rsidR="00740020" w:rsidRPr="00037CAA" w:rsidRDefault="00740020" w:rsidP="00740020">
            <w:pPr>
              <w:spacing w:after="0" w:line="240" w:lineRule="auto"/>
              <w:jc w:val="center"/>
              <w:rPr>
                <w:rFonts w:ascii="Arial" w:eastAsia="Times New Roman" w:hAnsi="Arial" w:cs="Arial"/>
                <w:color w:val="010205"/>
                <w:sz w:val="18"/>
                <w:szCs w:val="18"/>
                <w:lang w:eastAsia="cs-CZ"/>
              </w:rPr>
            </w:pPr>
            <w:r w:rsidRPr="00037CAA">
              <w:rPr>
                <w:rFonts w:ascii="Arial" w:eastAsia="Times New Roman" w:hAnsi="Arial" w:cs="Arial"/>
                <w:color w:val="010205"/>
                <w:sz w:val="18"/>
                <w:szCs w:val="18"/>
                <w:lang w:eastAsia="cs-CZ"/>
              </w:rPr>
              <w:t>0,12</w:t>
            </w:r>
          </w:p>
        </w:tc>
        <w:tc>
          <w:tcPr>
            <w:tcW w:w="1602" w:type="dxa"/>
            <w:tcBorders>
              <w:top w:val="single" w:sz="4" w:space="0" w:color="AEAEAE"/>
              <w:left w:val="nil"/>
              <w:bottom w:val="single" w:sz="4" w:space="0" w:color="auto"/>
              <w:right w:val="single" w:sz="4" w:space="0" w:color="E0E0E0"/>
            </w:tcBorders>
            <w:shd w:val="clear" w:color="auto" w:fill="auto"/>
            <w:noWrap/>
            <w:vAlign w:val="center"/>
            <w:hideMark/>
          </w:tcPr>
          <w:p w:rsidR="00740020" w:rsidRPr="00037CAA" w:rsidRDefault="00740020" w:rsidP="00740020">
            <w:pPr>
              <w:spacing w:after="0" w:line="240" w:lineRule="auto"/>
              <w:jc w:val="center"/>
              <w:rPr>
                <w:rFonts w:ascii="Arial" w:eastAsia="Times New Roman" w:hAnsi="Arial" w:cs="Arial"/>
                <w:color w:val="010205"/>
                <w:sz w:val="18"/>
                <w:szCs w:val="18"/>
                <w:lang w:eastAsia="cs-CZ"/>
              </w:rPr>
            </w:pPr>
            <w:r w:rsidRPr="00037CAA">
              <w:rPr>
                <w:rFonts w:ascii="Arial" w:eastAsia="Times New Roman" w:hAnsi="Arial" w:cs="Arial"/>
                <w:color w:val="010205"/>
                <w:sz w:val="18"/>
                <w:szCs w:val="18"/>
                <w:lang w:eastAsia="cs-CZ"/>
              </w:rPr>
              <w:t>-0,03</w:t>
            </w:r>
          </w:p>
        </w:tc>
        <w:tc>
          <w:tcPr>
            <w:tcW w:w="1602" w:type="dxa"/>
            <w:tcBorders>
              <w:top w:val="single" w:sz="4" w:space="0" w:color="AEAEAE"/>
              <w:left w:val="nil"/>
              <w:bottom w:val="single" w:sz="4" w:space="0" w:color="auto"/>
              <w:right w:val="single" w:sz="4" w:space="0" w:color="E0E0E0"/>
            </w:tcBorders>
            <w:shd w:val="clear" w:color="auto" w:fill="auto"/>
            <w:noWrap/>
            <w:vAlign w:val="center"/>
            <w:hideMark/>
          </w:tcPr>
          <w:p w:rsidR="00740020" w:rsidRPr="00037CAA" w:rsidRDefault="00740020" w:rsidP="00740020">
            <w:pPr>
              <w:spacing w:after="0" w:line="240" w:lineRule="auto"/>
              <w:jc w:val="center"/>
              <w:rPr>
                <w:rFonts w:ascii="Arial" w:eastAsia="Times New Roman" w:hAnsi="Arial" w:cs="Arial"/>
                <w:color w:val="010205"/>
                <w:sz w:val="18"/>
                <w:szCs w:val="18"/>
                <w:lang w:eastAsia="cs-CZ"/>
              </w:rPr>
            </w:pPr>
            <w:r w:rsidRPr="00037CAA">
              <w:rPr>
                <w:rFonts w:ascii="Arial" w:eastAsia="Times New Roman" w:hAnsi="Arial" w:cs="Arial"/>
                <w:color w:val="010205"/>
                <w:sz w:val="18"/>
                <w:szCs w:val="18"/>
                <w:lang w:eastAsia="cs-CZ"/>
              </w:rPr>
              <w:t>-0,04</w:t>
            </w:r>
          </w:p>
        </w:tc>
        <w:tc>
          <w:tcPr>
            <w:tcW w:w="1602" w:type="dxa"/>
            <w:tcBorders>
              <w:top w:val="single" w:sz="4" w:space="0" w:color="AEAEAE"/>
              <w:left w:val="nil"/>
              <w:bottom w:val="single" w:sz="4" w:space="0" w:color="auto"/>
              <w:right w:val="single" w:sz="4" w:space="0" w:color="auto"/>
            </w:tcBorders>
            <w:shd w:val="clear" w:color="auto" w:fill="auto"/>
            <w:noWrap/>
            <w:vAlign w:val="center"/>
            <w:hideMark/>
          </w:tcPr>
          <w:p w:rsidR="00740020" w:rsidRPr="00037CAA" w:rsidRDefault="00740020" w:rsidP="00740020">
            <w:pPr>
              <w:spacing w:after="0" w:line="240" w:lineRule="auto"/>
              <w:jc w:val="center"/>
              <w:rPr>
                <w:rFonts w:ascii="Arial" w:eastAsia="Times New Roman" w:hAnsi="Arial" w:cs="Arial"/>
                <w:color w:val="010205"/>
                <w:sz w:val="18"/>
                <w:szCs w:val="18"/>
                <w:lang w:eastAsia="cs-CZ"/>
              </w:rPr>
            </w:pPr>
            <w:r w:rsidRPr="00037CAA">
              <w:rPr>
                <w:rFonts w:ascii="Arial" w:eastAsia="Times New Roman" w:hAnsi="Arial" w:cs="Arial"/>
                <w:color w:val="010205"/>
                <w:sz w:val="18"/>
                <w:szCs w:val="18"/>
                <w:lang w:eastAsia="cs-CZ"/>
              </w:rPr>
              <w:t>-0,02</w:t>
            </w:r>
          </w:p>
        </w:tc>
      </w:tr>
    </w:tbl>
    <w:p w:rsidR="00ED115D" w:rsidRPr="00CF2403" w:rsidRDefault="00ED115D" w:rsidP="00740020">
      <w:pPr>
        <w:pStyle w:val="Bezmezer"/>
      </w:pPr>
    </w:p>
    <w:p w:rsidR="00740020" w:rsidRDefault="00740020" w:rsidP="00ED115D">
      <w:r>
        <w:t xml:space="preserve">Nejvýznamnější nákladové složky dokládající základní konkurenceschopnost podnikového produktového portfolia jsou výkonová spotřeba a osobní náklady vztažené k dosahovaným tržbám, a proto je vhodná jejich detailní analýza. </w:t>
      </w:r>
    </w:p>
    <w:p w:rsidR="00ED115D" w:rsidRDefault="00ED115D" w:rsidP="00ED115D"/>
    <w:p w:rsidR="00740020" w:rsidRDefault="00740020" w:rsidP="00740020">
      <w:pPr>
        <w:pStyle w:val="Titulek"/>
      </w:pPr>
      <w:bookmarkStart w:id="31" w:name="_Toc31054785"/>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9</w:t>
      </w:r>
      <w:r w:rsidR="00163A91">
        <w:rPr>
          <w:noProof/>
        </w:rPr>
        <w:fldChar w:fldCharType="end"/>
      </w:r>
      <w:r>
        <w:t xml:space="preserve"> – Průměry a medián základních provozních nákladových poměrů</w:t>
      </w:r>
      <w:bookmarkEnd w:id="31"/>
    </w:p>
    <w:tbl>
      <w:tblPr>
        <w:tblW w:w="8505" w:type="dxa"/>
        <w:tblCellMar>
          <w:left w:w="70" w:type="dxa"/>
          <w:right w:w="70" w:type="dxa"/>
        </w:tblCellMar>
        <w:tblLook w:val="04A0"/>
      </w:tblPr>
      <w:tblGrid>
        <w:gridCol w:w="2901"/>
        <w:gridCol w:w="1716"/>
        <w:gridCol w:w="1944"/>
        <w:gridCol w:w="1944"/>
      </w:tblGrid>
      <w:tr w:rsidR="00740020" w:rsidRPr="00037CAA" w:rsidTr="00740020">
        <w:trPr>
          <w:trHeight w:val="530"/>
        </w:trPr>
        <w:tc>
          <w:tcPr>
            <w:tcW w:w="3252" w:type="dxa"/>
            <w:tcBorders>
              <w:top w:val="single" w:sz="4" w:space="0" w:color="auto"/>
              <w:left w:val="single" w:sz="4" w:space="0" w:color="auto"/>
              <w:bottom w:val="single" w:sz="4" w:space="0" w:color="152935"/>
              <w:right w:val="nil"/>
            </w:tcBorders>
            <w:shd w:val="clear" w:color="auto" w:fill="auto"/>
            <w:vAlign w:val="center"/>
            <w:hideMark/>
          </w:tcPr>
          <w:p w:rsidR="00740020" w:rsidRPr="00037CAA" w:rsidRDefault="00740020" w:rsidP="00740020">
            <w:pPr>
              <w:spacing w:after="0" w:line="240" w:lineRule="auto"/>
              <w:jc w:val="left"/>
              <w:rPr>
                <w:rFonts w:ascii="Arial" w:eastAsia="Times New Roman" w:hAnsi="Arial" w:cs="Arial"/>
                <w:color w:val="264A60"/>
                <w:sz w:val="18"/>
                <w:szCs w:val="18"/>
                <w:lang w:eastAsia="cs-CZ"/>
              </w:rPr>
            </w:pPr>
            <w:r w:rsidRPr="00037CAA">
              <w:rPr>
                <w:rFonts w:ascii="Arial" w:eastAsia="Times New Roman" w:hAnsi="Arial" w:cs="Arial"/>
                <w:color w:val="264A60"/>
                <w:sz w:val="18"/>
                <w:szCs w:val="18"/>
                <w:lang w:eastAsia="cs-CZ"/>
              </w:rPr>
              <w:t> </w:t>
            </w:r>
          </w:p>
        </w:tc>
        <w:tc>
          <w:tcPr>
            <w:tcW w:w="1932" w:type="dxa"/>
            <w:tcBorders>
              <w:top w:val="single" w:sz="4" w:space="0" w:color="auto"/>
              <w:left w:val="nil"/>
              <w:bottom w:val="single" w:sz="4" w:space="0" w:color="152935"/>
              <w:right w:val="nil"/>
            </w:tcBorders>
            <w:shd w:val="clear" w:color="auto" w:fill="auto"/>
            <w:vAlign w:val="center"/>
            <w:hideMark/>
          </w:tcPr>
          <w:p w:rsidR="00740020" w:rsidRPr="00037CAA" w:rsidRDefault="00740020" w:rsidP="00740020">
            <w:pPr>
              <w:spacing w:after="0" w:line="240" w:lineRule="auto"/>
              <w:jc w:val="left"/>
              <w:rPr>
                <w:rFonts w:ascii="Arial" w:eastAsia="Times New Roman" w:hAnsi="Arial" w:cs="Arial"/>
                <w:color w:val="264A60"/>
                <w:sz w:val="18"/>
                <w:szCs w:val="18"/>
                <w:lang w:eastAsia="cs-CZ"/>
              </w:rPr>
            </w:pPr>
            <w:r w:rsidRPr="00037CAA">
              <w:rPr>
                <w:rFonts w:ascii="Arial" w:eastAsia="Times New Roman" w:hAnsi="Arial" w:cs="Arial"/>
                <w:color w:val="264A60"/>
                <w:sz w:val="18"/>
                <w:szCs w:val="18"/>
                <w:lang w:eastAsia="cs-CZ"/>
              </w:rPr>
              <w:t> </w:t>
            </w:r>
          </w:p>
        </w:tc>
        <w:tc>
          <w:tcPr>
            <w:tcW w:w="1944" w:type="dxa"/>
            <w:tcBorders>
              <w:top w:val="single" w:sz="4" w:space="0" w:color="auto"/>
              <w:left w:val="single" w:sz="4" w:space="0" w:color="auto"/>
              <w:bottom w:val="single" w:sz="4" w:space="0" w:color="152935"/>
              <w:right w:val="single" w:sz="4" w:space="0" w:color="E0E0E0"/>
            </w:tcBorders>
            <w:shd w:val="clear" w:color="auto" w:fill="auto"/>
            <w:vAlign w:val="center"/>
            <w:hideMark/>
          </w:tcPr>
          <w:p w:rsidR="00740020" w:rsidRPr="00037CAA" w:rsidRDefault="00740020" w:rsidP="00740020">
            <w:pPr>
              <w:spacing w:after="0" w:line="240" w:lineRule="auto"/>
              <w:jc w:val="center"/>
              <w:rPr>
                <w:rFonts w:ascii="Arial" w:eastAsia="Times New Roman" w:hAnsi="Arial" w:cs="Arial"/>
                <w:color w:val="264A60"/>
                <w:sz w:val="18"/>
                <w:szCs w:val="18"/>
                <w:lang w:eastAsia="cs-CZ"/>
              </w:rPr>
            </w:pPr>
            <w:r w:rsidRPr="00037CAA">
              <w:rPr>
                <w:rFonts w:ascii="Arial" w:eastAsia="Times New Roman" w:hAnsi="Arial" w:cs="Arial"/>
                <w:color w:val="264A60"/>
                <w:sz w:val="18"/>
                <w:szCs w:val="18"/>
                <w:lang w:eastAsia="cs-CZ"/>
              </w:rPr>
              <w:t>Podíl výkonové spotřeby</w:t>
            </w:r>
          </w:p>
        </w:tc>
        <w:tc>
          <w:tcPr>
            <w:tcW w:w="1944" w:type="dxa"/>
            <w:tcBorders>
              <w:top w:val="single" w:sz="4" w:space="0" w:color="auto"/>
              <w:left w:val="nil"/>
              <w:bottom w:val="single" w:sz="4" w:space="0" w:color="152935"/>
              <w:right w:val="single" w:sz="4" w:space="0" w:color="auto"/>
            </w:tcBorders>
            <w:shd w:val="clear" w:color="auto" w:fill="auto"/>
            <w:vAlign w:val="center"/>
            <w:hideMark/>
          </w:tcPr>
          <w:p w:rsidR="00740020" w:rsidRPr="00037CAA" w:rsidRDefault="00740020" w:rsidP="00740020">
            <w:pPr>
              <w:spacing w:after="0" w:line="240" w:lineRule="auto"/>
              <w:jc w:val="center"/>
              <w:rPr>
                <w:rFonts w:ascii="Arial" w:eastAsia="Times New Roman" w:hAnsi="Arial" w:cs="Arial"/>
                <w:color w:val="264A60"/>
                <w:sz w:val="18"/>
                <w:szCs w:val="18"/>
                <w:lang w:eastAsia="cs-CZ"/>
              </w:rPr>
            </w:pPr>
            <w:r w:rsidRPr="00037CAA">
              <w:rPr>
                <w:rFonts w:ascii="Arial" w:eastAsia="Times New Roman" w:hAnsi="Arial" w:cs="Arial"/>
                <w:color w:val="264A60"/>
                <w:sz w:val="18"/>
                <w:szCs w:val="18"/>
                <w:lang w:eastAsia="cs-CZ"/>
              </w:rPr>
              <w:t>Podíl osobních nákladů</w:t>
            </w:r>
          </w:p>
        </w:tc>
      </w:tr>
      <w:tr w:rsidR="00740020" w:rsidRPr="00037CAA" w:rsidTr="00740020">
        <w:trPr>
          <w:trHeight w:val="220"/>
        </w:trPr>
        <w:tc>
          <w:tcPr>
            <w:tcW w:w="5184" w:type="dxa"/>
            <w:gridSpan w:val="2"/>
            <w:tcBorders>
              <w:top w:val="single" w:sz="4" w:space="0" w:color="152935"/>
              <w:left w:val="single" w:sz="4" w:space="0" w:color="auto"/>
              <w:bottom w:val="nil"/>
              <w:right w:val="nil"/>
            </w:tcBorders>
            <w:shd w:val="clear" w:color="000000" w:fill="E0E0E0"/>
            <w:vAlign w:val="center"/>
            <w:hideMark/>
          </w:tcPr>
          <w:p w:rsidR="00740020" w:rsidRPr="00037CAA"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Průměr</w:t>
            </w:r>
          </w:p>
        </w:tc>
        <w:tc>
          <w:tcPr>
            <w:tcW w:w="1944" w:type="dxa"/>
            <w:tcBorders>
              <w:top w:val="nil"/>
              <w:left w:val="single" w:sz="4" w:space="0" w:color="auto"/>
              <w:bottom w:val="nil"/>
              <w:right w:val="single" w:sz="4" w:space="0" w:color="E0E0E0"/>
            </w:tcBorders>
            <w:shd w:val="clear" w:color="auto" w:fill="auto"/>
            <w:noWrap/>
            <w:vAlign w:val="center"/>
            <w:hideMark/>
          </w:tcPr>
          <w:p w:rsidR="00740020" w:rsidRPr="00037CAA" w:rsidRDefault="00740020" w:rsidP="00740020">
            <w:pPr>
              <w:spacing w:after="0" w:line="240" w:lineRule="auto"/>
              <w:jc w:val="center"/>
              <w:rPr>
                <w:rFonts w:ascii="Arial" w:eastAsia="Times New Roman" w:hAnsi="Arial" w:cs="Arial"/>
                <w:color w:val="010205"/>
                <w:sz w:val="18"/>
                <w:szCs w:val="18"/>
                <w:lang w:eastAsia="cs-CZ"/>
              </w:rPr>
            </w:pPr>
            <w:r w:rsidRPr="00037CAA">
              <w:rPr>
                <w:rFonts w:ascii="Arial" w:eastAsia="Times New Roman" w:hAnsi="Arial" w:cs="Arial"/>
                <w:color w:val="010205"/>
                <w:sz w:val="18"/>
                <w:szCs w:val="18"/>
                <w:lang w:eastAsia="cs-CZ"/>
              </w:rPr>
              <w:t>1,15</w:t>
            </w:r>
          </w:p>
        </w:tc>
        <w:tc>
          <w:tcPr>
            <w:tcW w:w="1944" w:type="dxa"/>
            <w:tcBorders>
              <w:top w:val="single" w:sz="4" w:space="0" w:color="AEAEAE"/>
              <w:left w:val="nil"/>
              <w:bottom w:val="nil"/>
              <w:right w:val="single" w:sz="4" w:space="0" w:color="auto"/>
            </w:tcBorders>
            <w:shd w:val="clear" w:color="auto" w:fill="auto"/>
            <w:noWrap/>
            <w:vAlign w:val="center"/>
            <w:hideMark/>
          </w:tcPr>
          <w:p w:rsidR="00740020" w:rsidRPr="00037CAA" w:rsidRDefault="00740020" w:rsidP="00740020">
            <w:pPr>
              <w:spacing w:after="0" w:line="240" w:lineRule="auto"/>
              <w:jc w:val="center"/>
              <w:rPr>
                <w:rFonts w:ascii="Arial" w:eastAsia="Times New Roman" w:hAnsi="Arial" w:cs="Arial"/>
                <w:color w:val="010205"/>
                <w:sz w:val="18"/>
                <w:szCs w:val="18"/>
                <w:lang w:eastAsia="cs-CZ"/>
              </w:rPr>
            </w:pPr>
            <w:r w:rsidRPr="00037CAA">
              <w:rPr>
                <w:rFonts w:ascii="Arial" w:eastAsia="Times New Roman" w:hAnsi="Arial" w:cs="Arial"/>
                <w:color w:val="010205"/>
                <w:sz w:val="18"/>
                <w:szCs w:val="18"/>
                <w:lang w:eastAsia="cs-CZ"/>
              </w:rPr>
              <w:t>0,48</w:t>
            </w:r>
          </w:p>
        </w:tc>
      </w:tr>
      <w:tr w:rsidR="00740020" w:rsidRPr="00037CAA" w:rsidTr="00740020">
        <w:trPr>
          <w:trHeight w:val="220"/>
        </w:trPr>
        <w:tc>
          <w:tcPr>
            <w:tcW w:w="5184" w:type="dxa"/>
            <w:gridSpan w:val="2"/>
            <w:tcBorders>
              <w:top w:val="single" w:sz="4" w:space="0" w:color="AEAEAE"/>
              <w:left w:val="single" w:sz="4" w:space="0" w:color="auto"/>
              <w:bottom w:val="nil"/>
              <w:right w:val="nil"/>
            </w:tcBorders>
            <w:shd w:val="clear" w:color="000000" w:fill="E0E0E0"/>
            <w:vAlign w:val="center"/>
            <w:hideMark/>
          </w:tcPr>
          <w:p w:rsidR="00740020" w:rsidRPr="00037CAA" w:rsidRDefault="00740020" w:rsidP="00740020">
            <w:pPr>
              <w:spacing w:after="0" w:line="240" w:lineRule="auto"/>
              <w:jc w:val="left"/>
              <w:rPr>
                <w:rFonts w:ascii="Arial" w:eastAsia="Times New Roman" w:hAnsi="Arial" w:cs="Arial"/>
                <w:color w:val="264A60"/>
                <w:sz w:val="18"/>
                <w:szCs w:val="18"/>
                <w:lang w:eastAsia="cs-CZ"/>
              </w:rPr>
            </w:pPr>
            <w:r w:rsidRPr="00037CAA">
              <w:rPr>
                <w:rFonts w:ascii="Arial" w:eastAsia="Times New Roman" w:hAnsi="Arial" w:cs="Arial"/>
                <w:color w:val="264A60"/>
                <w:sz w:val="18"/>
                <w:szCs w:val="18"/>
                <w:lang w:eastAsia="cs-CZ"/>
              </w:rPr>
              <w:t xml:space="preserve">5% </w:t>
            </w:r>
            <w:r>
              <w:rPr>
                <w:rFonts w:ascii="Arial" w:eastAsia="Times New Roman" w:hAnsi="Arial" w:cs="Arial"/>
                <w:color w:val="264A60"/>
                <w:sz w:val="18"/>
                <w:szCs w:val="18"/>
                <w:lang w:eastAsia="cs-CZ"/>
              </w:rPr>
              <w:t>Redukovaný průměr</w:t>
            </w:r>
          </w:p>
        </w:tc>
        <w:tc>
          <w:tcPr>
            <w:tcW w:w="1944" w:type="dxa"/>
            <w:tcBorders>
              <w:top w:val="single" w:sz="4" w:space="0" w:color="AEAEAE"/>
              <w:left w:val="single" w:sz="4" w:space="0" w:color="auto"/>
              <w:bottom w:val="nil"/>
              <w:right w:val="single" w:sz="4" w:space="0" w:color="E0E0E0"/>
            </w:tcBorders>
            <w:shd w:val="clear" w:color="auto" w:fill="auto"/>
            <w:noWrap/>
            <w:vAlign w:val="center"/>
            <w:hideMark/>
          </w:tcPr>
          <w:p w:rsidR="00740020" w:rsidRPr="00037CAA" w:rsidRDefault="00740020" w:rsidP="00740020">
            <w:pPr>
              <w:spacing w:after="0" w:line="240" w:lineRule="auto"/>
              <w:jc w:val="center"/>
              <w:rPr>
                <w:rFonts w:ascii="Arial" w:eastAsia="Times New Roman" w:hAnsi="Arial" w:cs="Arial"/>
                <w:color w:val="010205"/>
                <w:sz w:val="18"/>
                <w:szCs w:val="18"/>
                <w:lang w:eastAsia="cs-CZ"/>
              </w:rPr>
            </w:pPr>
            <w:r w:rsidRPr="00037CAA">
              <w:rPr>
                <w:rFonts w:ascii="Arial" w:eastAsia="Times New Roman" w:hAnsi="Arial" w:cs="Arial"/>
                <w:color w:val="010205"/>
                <w:sz w:val="18"/>
                <w:szCs w:val="18"/>
                <w:lang w:eastAsia="cs-CZ"/>
              </w:rPr>
              <w:t>0,77</w:t>
            </w:r>
          </w:p>
        </w:tc>
        <w:tc>
          <w:tcPr>
            <w:tcW w:w="1944" w:type="dxa"/>
            <w:tcBorders>
              <w:top w:val="single" w:sz="4" w:space="0" w:color="AEAEAE"/>
              <w:left w:val="nil"/>
              <w:bottom w:val="nil"/>
              <w:right w:val="single" w:sz="4" w:space="0" w:color="auto"/>
            </w:tcBorders>
            <w:shd w:val="clear" w:color="auto" w:fill="auto"/>
            <w:noWrap/>
            <w:vAlign w:val="center"/>
            <w:hideMark/>
          </w:tcPr>
          <w:p w:rsidR="00740020" w:rsidRPr="00037CAA" w:rsidRDefault="00740020" w:rsidP="00740020">
            <w:pPr>
              <w:spacing w:after="0" w:line="240" w:lineRule="auto"/>
              <w:jc w:val="center"/>
              <w:rPr>
                <w:rFonts w:ascii="Arial" w:eastAsia="Times New Roman" w:hAnsi="Arial" w:cs="Arial"/>
                <w:color w:val="010205"/>
                <w:sz w:val="18"/>
                <w:szCs w:val="18"/>
                <w:lang w:eastAsia="cs-CZ"/>
              </w:rPr>
            </w:pPr>
            <w:r w:rsidRPr="00037CAA">
              <w:rPr>
                <w:rFonts w:ascii="Arial" w:eastAsia="Times New Roman" w:hAnsi="Arial" w:cs="Arial"/>
                <w:color w:val="010205"/>
                <w:sz w:val="18"/>
                <w:szCs w:val="18"/>
                <w:lang w:eastAsia="cs-CZ"/>
              </w:rPr>
              <w:t>0,24</w:t>
            </w:r>
          </w:p>
        </w:tc>
      </w:tr>
      <w:tr w:rsidR="00740020" w:rsidRPr="00037CAA" w:rsidTr="00740020">
        <w:trPr>
          <w:trHeight w:val="220"/>
        </w:trPr>
        <w:tc>
          <w:tcPr>
            <w:tcW w:w="5184" w:type="dxa"/>
            <w:gridSpan w:val="2"/>
            <w:tcBorders>
              <w:top w:val="single" w:sz="4" w:space="0" w:color="AEAEAE"/>
              <w:left w:val="single" w:sz="4" w:space="0" w:color="auto"/>
              <w:bottom w:val="single" w:sz="4" w:space="0" w:color="auto"/>
              <w:right w:val="nil"/>
            </w:tcBorders>
            <w:shd w:val="clear" w:color="000000" w:fill="E0E0E0"/>
            <w:vAlign w:val="center"/>
            <w:hideMark/>
          </w:tcPr>
          <w:p w:rsidR="00740020" w:rsidRPr="00037CAA"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Medián</w:t>
            </w:r>
          </w:p>
        </w:tc>
        <w:tc>
          <w:tcPr>
            <w:tcW w:w="1944" w:type="dxa"/>
            <w:tcBorders>
              <w:top w:val="single" w:sz="4" w:space="0" w:color="AEAEAE"/>
              <w:left w:val="single" w:sz="4" w:space="0" w:color="auto"/>
              <w:bottom w:val="single" w:sz="4" w:space="0" w:color="auto"/>
              <w:right w:val="single" w:sz="4" w:space="0" w:color="E0E0E0"/>
            </w:tcBorders>
            <w:shd w:val="clear" w:color="auto" w:fill="auto"/>
            <w:noWrap/>
            <w:vAlign w:val="center"/>
            <w:hideMark/>
          </w:tcPr>
          <w:p w:rsidR="00740020" w:rsidRPr="00037CAA" w:rsidRDefault="00740020" w:rsidP="00740020">
            <w:pPr>
              <w:spacing w:after="0" w:line="240" w:lineRule="auto"/>
              <w:jc w:val="center"/>
              <w:rPr>
                <w:rFonts w:ascii="Arial" w:eastAsia="Times New Roman" w:hAnsi="Arial" w:cs="Arial"/>
                <w:color w:val="010205"/>
                <w:sz w:val="18"/>
                <w:szCs w:val="18"/>
                <w:lang w:eastAsia="cs-CZ"/>
              </w:rPr>
            </w:pPr>
            <w:r w:rsidRPr="00037CAA">
              <w:rPr>
                <w:rFonts w:ascii="Arial" w:eastAsia="Times New Roman" w:hAnsi="Arial" w:cs="Arial"/>
                <w:color w:val="010205"/>
                <w:sz w:val="18"/>
                <w:szCs w:val="18"/>
                <w:lang w:eastAsia="cs-CZ"/>
              </w:rPr>
              <w:t>0,75</w:t>
            </w:r>
          </w:p>
        </w:tc>
        <w:tc>
          <w:tcPr>
            <w:tcW w:w="1944" w:type="dxa"/>
            <w:tcBorders>
              <w:top w:val="single" w:sz="4" w:space="0" w:color="AEAEAE"/>
              <w:left w:val="nil"/>
              <w:bottom w:val="single" w:sz="4" w:space="0" w:color="auto"/>
              <w:right w:val="single" w:sz="4" w:space="0" w:color="auto"/>
            </w:tcBorders>
            <w:shd w:val="clear" w:color="auto" w:fill="auto"/>
            <w:noWrap/>
            <w:vAlign w:val="center"/>
            <w:hideMark/>
          </w:tcPr>
          <w:p w:rsidR="00740020" w:rsidRPr="00037CAA" w:rsidRDefault="00740020" w:rsidP="00740020">
            <w:pPr>
              <w:spacing w:after="0" w:line="240" w:lineRule="auto"/>
              <w:jc w:val="center"/>
              <w:rPr>
                <w:rFonts w:ascii="Arial" w:eastAsia="Times New Roman" w:hAnsi="Arial" w:cs="Arial"/>
                <w:color w:val="010205"/>
                <w:sz w:val="18"/>
                <w:szCs w:val="18"/>
                <w:lang w:eastAsia="cs-CZ"/>
              </w:rPr>
            </w:pPr>
            <w:r w:rsidRPr="00037CAA">
              <w:rPr>
                <w:rFonts w:ascii="Arial" w:eastAsia="Times New Roman" w:hAnsi="Arial" w:cs="Arial"/>
                <w:color w:val="010205"/>
                <w:sz w:val="18"/>
                <w:szCs w:val="18"/>
                <w:lang w:eastAsia="cs-CZ"/>
              </w:rPr>
              <w:t>0,23</w:t>
            </w:r>
          </w:p>
        </w:tc>
      </w:tr>
    </w:tbl>
    <w:p w:rsidR="00ED115D" w:rsidRDefault="00ED115D" w:rsidP="00740020"/>
    <w:p w:rsidR="00740020" w:rsidRDefault="00740020" w:rsidP="00740020">
      <w:r>
        <w:t xml:space="preserve">Analýza prezentuje úrovně marží podle jednotlivých úrovní tvorby zisku. I zde plyne z porovnání průměru, redukovaného průměru a mediánu, že soubor obsahuje řadu odlehlých hodnot. Redukovaný průměr a medián jsou </w:t>
      </w:r>
      <w:r w:rsidRPr="00753A89">
        <w:rPr>
          <w:b/>
        </w:rPr>
        <w:t>kladné pouze u marže přidané hodnoty, avšak jejich průměrná úroveň nedává příliš velký prostor pro krytí nákladů práce</w:t>
      </w:r>
      <w:r>
        <w:t xml:space="preserve">, kde redukovaný průměr i medián jsou na úrovni cca 23 %. Ostatní úrovně marže jsou již záporné, což indikuje mj. </w:t>
      </w:r>
      <w:r w:rsidRPr="00753A89">
        <w:rPr>
          <w:b/>
        </w:rPr>
        <w:t>neschopnost krytí nákladů na cizí úročené zdroje financování</w:t>
      </w:r>
      <w:r>
        <w:t>.</w:t>
      </w:r>
    </w:p>
    <w:p w:rsidR="00740020" w:rsidRDefault="00740020" w:rsidP="00740020">
      <w:r>
        <w:t>Dále se analýza zaměří na relativní četnosti polarity ukazatelů EBITDA, deficitu nutné hotovosti, salda primárních nepeněžních složek pracovního kapitálu (NS PK) a vlastního kapitálu. Použití relativních četností odstraní nedostatky průměru a zároveň názorně demonstrují podnikovou finanční situaci. Kladné nebo záporné hodnoty zvolených ukazatelů jednoznačně indikují finanční stav podniku. V kapitole 3.3 Analýza indikátorů úpadku bude věnována pozornost křížovým vztahům mezi těmito ukazateli u zkoumaných podniků.</w:t>
      </w:r>
    </w:p>
    <w:p w:rsidR="00740020" w:rsidRPr="00675D65" w:rsidRDefault="00740020" w:rsidP="00740020">
      <w:pPr>
        <w:pStyle w:val="Titulek"/>
      </w:pPr>
      <w:bookmarkStart w:id="32" w:name="_Toc31054786"/>
      <w:r>
        <w:lastRenderedPageBreak/>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10</w:t>
      </w:r>
      <w:r w:rsidR="00163A91">
        <w:rPr>
          <w:noProof/>
        </w:rPr>
        <w:fldChar w:fldCharType="end"/>
      </w:r>
      <w:r>
        <w:t xml:space="preserve"> – Relativní četnosti polarity vybraných ukazatelů v jednotlivých letech</w:t>
      </w:r>
      <w:bookmarkEnd w:id="32"/>
    </w:p>
    <w:tbl>
      <w:tblPr>
        <w:tblW w:w="8505" w:type="dxa"/>
        <w:tblCellMar>
          <w:left w:w="70" w:type="dxa"/>
          <w:right w:w="70" w:type="dxa"/>
        </w:tblCellMar>
        <w:tblLook w:val="04A0"/>
      </w:tblPr>
      <w:tblGrid>
        <w:gridCol w:w="2432"/>
        <w:gridCol w:w="2608"/>
        <w:gridCol w:w="1155"/>
        <w:gridCol w:w="1155"/>
        <w:gridCol w:w="1155"/>
      </w:tblGrid>
      <w:tr w:rsidR="00740020" w:rsidRPr="00D11051" w:rsidTr="00740020">
        <w:trPr>
          <w:trHeight w:val="677"/>
        </w:trPr>
        <w:tc>
          <w:tcPr>
            <w:tcW w:w="5615" w:type="dxa"/>
            <w:gridSpan w:val="2"/>
            <w:tcBorders>
              <w:top w:val="single" w:sz="4" w:space="0" w:color="auto"/>
              <w:left w:val="single" w:sz="4" w:space="0" w:color="auto"/>
              <w:bottom w:val="single" w:sz="4" w:space="0" w:color="152935"/>
              <w:right w:val="nil"/>
            </w:tcBorders>
            <w:shd w:val="clear" w:color="auto" w:fill="auto"/>
            <w:vAlign w:val="center"/>
            <w:hideMark/>
          </w:tcPr>
          <w:p w:rsidR="00740020" w:rsidRPr="00D11051" w:rsidRDefault="00740020" w:rsidP="00740020">
            <w:pPr>
              <w:spacing w:after="0" w:line="240" w:lineRule="auto"/>
              <w:jc w:val="left"/>
              <w:rPr>
                <w:rFonts w:ascii="Arial" w:eastAsia="Times New Roman" w:hAnsi="Arial" w:cs="Arial"/>
                <w:color w:val="264A60"/>
                <w:sz w:val="18"/>
                <w:szCs w:val="18"/>
                <w:lang w:eastAsia="cs-CZ"/>
              </w:rPr>
            </w:pPr>
            <w:r w:rsidRPr="00D11051">
              <w:rPr>
                <w:rFonts w:ascii="Arial" w:eastAsia="Times New Roman" w:hAnsi="Arial" w:cs="Arial"/>
                <w:color w:val="264A60"/>
                <w:sz w:val="18"/>
                <w:szCs w:val="18"/>
                <w:lang w:eastAsia="cs-CZ"/>
              </w:rPr>
              <w:t> </w:t>
            </w:r>
          </w:p>
        </w:tc>
        <w:tc>
          <w:tcPr>
            <w:tcW w:w="1155" w:type="dxa"/>
            <w:tcBorders>
              <w:top w:val="single" w:sz="4" w:space="0" w:color="auto"/>
              <w:left w:val="single" w:sz="4" w:space="0" w:color="auto"/>
              <w:bottom w:val="single" w:sz="4" w:space="0" w:color="152935"/>
              <w:right w:val="nil"/>
            </w:tcBorders>
            <w:shd w:val="clear" w:color="auto" w:fill="auto"/>
            <w:vAlign w:val="center"/>
            <w:hideMark/>
          </w:tcPr>
          <w:p w:rsidR="00740020" w:rsidRPr="00D11051" w:rsidRDefault="00740020" w:rsidP="00740020">
            <w:pPr>
              <w:spacing w:after="0" w:line="240" w:lineRule="auto"/>
              <w:jc w:val="center"/>
              <w:rPr>
                <w:rFonts w:ascii="Arial" w:eastAsia="Times New Roman" w:hAnsi="Arial" w:cs="Arial"/>
                <w:color w:val="264A60"/>
                <w:sz w:val="18"/>
                <w:szCs w:val="18"/>
                <w:lang w:eastAsia="cs-CZ"/>
              </w:rPr>
            </w:pPr>
            <w:r w:rsidRPr="00D11051">
              <w:rPr>
                <w:rFonts w:ascii="Arial" w:eastAsia="Times New Roman" w:hAnsi="Arial" w:cs="Arial"/>
                <w:color w:val="264A60"/>
                <w:sz w:val="18"/>
                <w:szCs w:val="18"/>
                <w:lang w:eastAsia="cs-CZ"/>
              </w:rPr>
              <w:t>1 rok před moratoriem</w:t>
            </w:r>
          </w:p>
        </w:tc>
        <w:tc>
          <w:tcPr>
            <w:tcW w:w="1155" w:type="dxa"/>
            <w:tcBorders>
              <w:top w:val="single" w:sz="4" w:space="0" w:color="auto"/>
              <w:left w:val="single" w:sz="4" w:space="0" w:color="E0E0E0"/>
              <w:bottom w:val="single" w:sz="4" w:space="0" w:color="152935"/>
              <w:right w:val="single" w:sz="4" w:space="0" w:color="E0E0E0"/>
            </w:tcBorders>
            <w:shd w:val="clear" w:color="auto" w:fill="auto"/>
            <w:vAlign w:val="center"/>
            <w:hideMark/>
          </w:tcPr>
          <w:p w:rsidR="00740020" w:rsidRPr="00D11051" w:rsidRDefault="00740020" w:rsidP="00740020">
            <w:pPr>
              <w:spacing w:after="0" w:line="240" w:lineRule="auto"/>
              <w:jc w:val="center"/>
              <w:rPr>
                <w:rFonts w:ascii="Arial" w:eastAsia="Times New Roman" w:hAnsi="Arial" w:cs="Arial"/>
                <w:color w:val="264A60"/>
                <w:sz w:val="18"/>
                <w:szCs w:val="18"/>
                <w:lang w:eastAsia="cs-CZ"/>
              </w:rPr>
            </w:pPr>
            <w:r w:rsidRPr="00D11051">
              <w:rPr>
                <w:rFonts w:ascii="Arial" w:eastAsia="Times New Roman" w:hAnsi="Arial" w:cs="Arial"/>
                <w:color w:val="264A60"/>
                <w:sz w:val="18"/>
                <w:szCs w:val="18"/>
                <w:lang w:eastAsia="cs-CZ"/>
              </w:rPr>
              <w:t>2 roky před moratoriem</w:t>
            </w:r>
          </w:p>
        </w:tc>
        <w:tc>
          <w:tcPr>
            <w:tcW w:w="1155" w:type="dxa"/>
            <w:tcBorders>
              <w:top w:val="single" w:sz="4" w:space="0" w:color="auto"/>
              <w:left w:val="nil"/>
              <w:bottom w:val="single" w:sz="4" w:space="0" w:color="152935"/>
              <w:right w:val="single" w:sz="4" w:space="0" w:color="auto"/>
            </w:tcBorders>
            <w:shd w:val="clear" w:color="auto" w:fill="auto"/>
            <w:vAlign w:val="center"/>
            <w:hideMark/>
          </w:tcPr>
          <w:p w:rsidR="00740020" w:rsidRPr="00D11051" w:rsidRDefault="00740020" w:rsidP="00740020">
            <w:pPr>
              <w:spacing w:after="0" w:line="240" w:lineRule="auto"/>
              <w:jc w:val="center"/>
              <w:rPr>
                <w:rFonts w:ascii="Arial" w:eastAsia="Times New Roman" w:hAnsi="Arial" w:cs="Arial"/>
                <w:color w:val="264A60"/>
                <w:sz w:val="18"/>
                <w:szCs w:val="18"/>
                <w:lang w:eastAsia="cs-CZ"/>
              </w:rPr>
            </w:pPr>
            <w:r w:rsidRPr="00D11051">
              <w:rPr>
                <w:rFonts w:ascii="Arial" w:eastAsia="Times New Roman" w:hAnsi="Arial" w:cs="Arial"/>
                <w:color w:val="264A60"/>
                <w:sz w:val="18"/>
                <w:szCs w:val="18"/>
                <w:lang w:eastAsia="cs-CZ"/>
              </w:rPr>
              <w:t>3 roky před moratoriem</w:t>
            </w:r>
          </w:p>
        </w:tc>
      </w:tr>
      <w:tr w:rsidR="00740020" w:rsidRPr="00D11051" w:rsidTr="00740020">
        <w:trPr>
          <w:trHeight w:val="295"/>
        </w:trPr>
        <w:tc>
          <w:tcPr>
            <w:tcW w:w="2684" w:type="dxa"/>
            <w:vMerge w:val="restart"/>
            <w:tcBorders>
              <w:top w:val="nil"/>
              <w:left w:val="single" w:sz="4" w:space="0" w:color="auto"/>
              <w:bottom w:val="single" w:sz="4" w:space="0" w:color="AEAEAE"/>
              <w:right w:val="nil"/>
            </w:tcBorders>
            <w:shd w:val="clear" w:color="000000" w:fill="E0E0E0"/>
            <w:vAlign w:val="center"/>
            <w:hideMark/>
          </w:tcPr>
          <w:p w:rsidR="00740020" w:rsidRPr="00D11051" w:rsidRDefault="00740020" w:rsidP="00740020">
            <w:pPr>
              <w:spacing w:after="0" w:line="240" w:lineRule="auto"/>
              <w:jc w:val="left"/>
              <w:rPr>
                <w:rFonts w:ascii="Arial" w:eastAsia="Times New Roman" w:hAnsi="Arial" w:cs="Arial"/>
                <w:b/>
                <w:bCs/>
                <w:color w:val="264A60"/>
                <w:sz w:val="18"/>
                <w:szCs w:val="18"/>
                <w:lang w:eastAsia="cs-CZ"/>
              </w:rPr>
            </w:pPr>
            <w:r w:rsidRPr="00D11051">
              <w:rPr>
                <w:rFonts w:ascii="Arial" w:eastAsia="Times New Roman" w:hAnsi="Arial" w:cs="Arial"/>
                <w:b/>
                <w:bCs/>
                <w:color w:val="264A60"/>
                <w:sz w:val="18"/>
                <w:szCs w:val="18"/>
                <w:lang w:eastAsia="cs-CZ"/>
              </w:rPr>
              <w:t>Polarita primární EBITDA</w:t>
            </w:r>
          </w:p>
        </w:tc>
        <w:tc>
          <w:tcPr>
            <w:tcW w:w="2931" w:type="dxa"/>
            <w:tcBorders>
              <w:top w:val="nil"/>
              <w:left w:val="nil"/>
              <w:bottom w:val="single" w:sz="4" w:space="0" w:color="AEAEAE"/>
              <w:right w:val="nil"/>
            </w:tcBorders>
            <w:shd w:val="clear" w:color="000000" w:fill="E0E0E0"/>
            <w:vAlign w:val="center"/>
            <w:hideMark/>
          </w:tcPr>
          <w:p w:rsidR="00740020" w:rsidRPr="00D11051" w:rsidRDefault="00740020" w:rsidP="00740020">
            <w:pPr>
              <w:spacing w:after="0" w:line="240" w:lineRule="auto"/>
              <w:jc w:val="left"/>
              <w:rPr>
                <w:rFonts w:ascii="Arial" w:eastAsia="Times New Roman" w:hAnsi="Arial" w:cs="Arial"/>
                <w:color w:val="264A60"/>
                <w:sz w:val="18"/>
                <w:szCs w:val="18"/>
                <w:lang w:eastAsia="cs-CZ"/>
              </w:rPr>
            </w:pPr>
            <w:r w:rsidRPr="00D11051">
              <w:rPr>
                <w:rFonts w:ascii="Arial" w:eastAsia="Times New Roman" w:hAnsi="Arial" w:cs="Arial"/>
                <w:color w:val="264A60"/>
                <w:sz w:val="18"/>
                <w:szCs w:val="18"/>
                <w:lang w:eastAsia="cs-CZ"/>
              </w:rPr>
              <w:t>Kladná primární EBITDA</w:t>
            </w:r>
          </w:p>
        </w:tc>
        <w:tc>
          <w:tcPr>
            <w:tcW w:w="1155" w:type="dxa"/>
            <w:tcBorders>
              <w:top w:val="nil"/>
              <w:left w:val="single" w:sz="4" w:space="0" w:color="auto"/>
              <w:bottom w:val="single" w:sz="4" w:space="0" w:color="AEAEAE"/>
              <w:right w:val="nil"/>
            </w:tcBorders>
            <w:shd w:val="clear" w:color="auto" w:fill="auto"/>
            <w:noWrap/>
            <w:vAlign w:val="center"/>
            <w:hideMark/>
          </w:tcPr>
          <w:p w:rsidR="00740020" w:rsidRPr="00D11051" w:rsidRDefault="00740020" w:rsidP="00740020">
            <w:pPr>
              <w:spacing w:after="0" w:line="240" w:lineRule="auto"/>
              <w:jc w:val="center"/>
              <w:rPr>
                <w:rFonts w:ascii="Arial" w:eastAsia="Times New Roman" w:hAnsi="Arial" w:cs="Arial"/>
                <w:color w:val="010205"/>
                <w:sz w:val="18"/>
                <w:szCs w:val="18"/>
                <w:lang w:eastAsia="cs-CZ"/>
              </w:rPr>
            </w:pPr>
            <w:r w:rsidRPr="00D11051">
              <w:rPr>
                <w:rFonts w:ascii="Arial" w:eastAsia="Times New Roman" w:hAnsi="Arial" w:cs="Arial"/>
                <w:color w:val="010205"/>
                <w:sz w:val="18"/>
                <w:szCs w:val="18"/>
                <w:lang w:eastAsia="cs-CZ"/>
              </w:rPr>
              <w:t>13,0</w:t>
            </w:r>
            <w:r>
              <w:rPr>
                <w:rFonts w:ascii="Arial" w:eastAsia="Times New Roman" w:hAnsi="Arial" w:cs="Arial"/>
                <w:color w:val="010205"/>
                <w:sz w:val="18"/>
                <w:szCs w:val="18"/>
                <w:lang w:eastAsia="cs-CZ"/>
              </w:rPr>
              <w:t xml:space="preserve"> </w:t>
            </w:r>
            <w:r w:rsidRPr="00D11051">
              <w:rPr>
                <w:rFonts w:ascii="Arial" w:eastAsia="Times New Roman" w:hAnsi="Arial" w:cs="Arial"/>
                <w:color w:val="010205"/>
                <w:sz w:val="18"/>
                <w:szCs w:val="18"/>
                <w:lang w:eastAsia="cs-CZ"/>
              </w:rPr>
              <w:t>%</w:t>
            </w:r>
          </w:p>
        </w:tc>
        <w:tc>
          <w:tcPr>
            <w:tcW w:w="1155" w:type="dxa"/>
            <w:tcBorders>
              <w:top w:val="nil"/>
              <w:left w:val="single" w:sz="4" w:space="0" w:color="E0E0E0"/>
              <w:bottom w:val="single" w:sz="4" w:space="0" w:color="AEAEAE"/>
              <w:right w:val="single" w:sz="4" w:space="0" w:color="E0E0E0"/>
            </w:tcBorders>
            <w:shd w:val="clear" w:color="auto" w:fill="auto"/>
            <w:noWrap/>
            <w:vAlign w:val="center"/>
            <w:hideMark/>
          </w:tcPr>
          <w:p w:rsidR="00740020" w:rsidRPr="00D11051" w:rsidRDefault="00740020" w:rsidP="00740020">
            <w:pPr>
              <w:spacing w:after="0" w:line="240" w:lineRule="auto"/>
              <w:jc w:val="center"/>
              <w:rPr>
                <w:rFonts w:ascii="Arial" w:eastAsia="Times New Roman" w:hAnsi="Arial" w:cs="Arial"/>
                <w:color w:val="010205"/>
                <w:sz w:val="18"/>
                <w:szCs w:val="18"/>
                <w:lang w:eastAsia="cs-CZ"/>
              </w:rPr>
            </w:pPr>
            <w:r w:rsidRPr="00D11051">
              <w:rPr>
                <w:rFonts w:ascii="Arial" w:eastAsia="Times New Roman" w:hAnsi="Arial" w:cs="Arial"/>
                <w:color w:val="010205"/>
                <w:sz w:val="18"/>
                <w:szCs w:val="18"/>
                <w:lang w:eastAsia="cs-CZ"/>
              </w:rPr>
              <w:t>42,9</w:t>
            </w:r>
            <w:r>
              <w:rPr>
                <w:rFonts w:ascii="Arial" w:eastAsia="Times New Roman" w:hAnsi="Arial" w:cs="Arial"/>
                <w:color w:val="010205"/>
                <w:sz w:val="18"/>
                <w:szCs w:val="18"/>
                <w:lang w:eastAsia="cs-CZ"/>
              </w:rPr>
              <w:t xml:space="preserve"> </w:t>
            </w:r>
            <w:r w:rsidRPr="00D11051">
              <w:rPr>
                <w:rFonts w:ascii="Arial" w:eastAsia="Times New Roman" w:hAnsi="Arial" w:cs="Arial"/>
                <w:color w:val="010205"/>
                <w:sz w:val="18"/>
                <w:szCs w:val="18"/>
                <w:lang w:eastAsia="cs-CZ"/>
              </w:rPr>
              <w:t>%</w:t>
            </w:r>
          </w:p>
        </w:tc>
        <w:tc>
          <w:tcPr>
            <w:tcW w:w="1155" w:type="dxa"/>
            <w:tcBorders>
              <w:top w:val="nil"/>
              <w:left w:val="nil"/>
              <w:bottom w:val="single" w:sz="4" w:space="0" w:color="AEAEAE"/>
              <w:right w:val="single" w:sz="4" w:space="0" w:color="auto"/>
            </w:tcBorders>
            <w:shd w:val="clear" w:color="auto" w:fill="auto"/>
            <w:noWrap/>
            <w:vAlign w:val="center"/>
            <w:hideMark/>
          </w:tcPr>
          <w:p w:rsidR="00740020" w:rsidRPr="00D11051" w:rsidRDefault="00740020" w:rsidP="00740020">
            <w:pPr>
              <w:spacing w:after="0" w:line="240" w:lineRule="auto"/>
              <w:jc w:val="center"/>
              <w:rPr>
                <w:rFonts w:ascii="Arial" w:eastAsia="Times New Roman" w:hAnsi="Arial" w:cs="Arial"/>
                <w:color w:val="010205"/>
                <w:sz w:val="18"/>
                <w:szCs w:val="18"/>
                <w:lang w:eastAsia="cs-CZ"/>
              </w:rPr>
            </w:pPr>
            <w:r w:rsidRPr="00D11051">
              <w:rPr>
                <w:rFonts w:ascii="Arial" w:eastAsia="Times New Roman" w:hAnsi="Arial" w:cs="Arial"/>
                <w:color w:val="010205"/>
                <w:sz w:val="18"/>
                <w:szCs w:val="18"/>
                <w:lang w:eastAsia="cs-CZ"/>
              </w:rPr>
              <w:t>57,5</w:t>
            </w:r>
            <w:r>
              <w:rPr>
                <w:rFonts w:ascii="Arial" w:eastAsia="Times New Roman" w:hAnsi="Arial" w:cs="Arial"/>
                <w:color w:val="010205"/>
                <w:sz w:val="18"/>
                <w:szCs w:val="18"/>
                <w:lang w:eastAsia="cs-CZ"/>
              </w:rPr>
              <w:t xml:space="preserve"> </w:t>
            </w:r>
            <w:r w:rsidRPr="00D11051">
              <w:rPr>
                <w:rFonts w:ascii="Arial" w:eastAsia="Times New Roman" w:hAnsi="Arial" w:cs="Arial"/>
                <w:color w:val="010205"/>
                <w:sz w:val="18"/>
                <w:szCs w:val="18"/>
                <w:lang w:eastAsia="cs-CZ"/>
              </w:rPr>
              <w:t>%</w:t>
            </w:r>
          </w:p>
        </w:tc>
      </w:tr>
      <w:tr w:rsidR="00740020" w:rsidRPr="00D11051" w:rsidTr="00740020">
        <w:trPr>
          <w:trHeight w:val="295"/>
        </w:trPr>
        <w:tc>
          <w:tcPr>
            <w:tcW w:w="2684" w:type="dxa"/>
            <w:vMerge/>
            <w:tcBorders>
              <w:top w:val="nil"/>
              <w:left w:val="single" w:sz="4" w:space="0" w:color="auto"/>
              <w:bottom w:val="single" w:sz="4" w:space="0" w:color="AEAEAE"/>
              <w:right w:val="nil"/>
            </w:tcBorders>
            <w:vAlign w:val="center"/>
            <w:hideMark/>
          </w:tcPr>
          <w:p w:rsidR="00740020" w:rsidRPr="00D11051" w:rsidRDefault="00740020" w:rsidP="00740020">
            <w:pPr>
              <w:spacing w:after="0" w:line="240" w:lineRule="auto"/>
              <w:jc w:val="left"/>
              <w:rPr>
                <w:rFonts w:ascii="Arial" w:eastAsia="Times New Roman" w:hAnsi="Arial" w:cs="Arial"/>
                <w:b/>
                <w:bCs/>
                <w:color w:val="264A60"/>
                <w:sz w:val="18"/>
                <w:szCs w:val="18"/>
                <w:lang w:eastAsia="cs-CZ"/>
              </w:rPr>
            </w:pPr>
          </w:p>
        </w:tc>
        <w:tc>
          <w:tcPr>
            <w:tcW w:w="2931" w:type="dxa"/>
            <w:tcBorders>
              <w:top w:val="nil"/>
              <w:left w:val="nil"/>
              <w:bottom w:val="single" w:sz="4" w:space="0" w:color="AEAEAE"/>
              <w:right w:val="nil"/>
            </w:tcBorders>
            <w:shd w:val="clear" w:color="000000" w:fill="E0E0E0"/>
            <w:vAlign w:val="center"/>
            <w:hideMark/>
          </w:tcPr>
          <w:p w:rsidR="00740020" w:rsidRPr="00D11051" w:rsidRDefault="00740020" w:rsidP="00740020">
            <w:pPr>
              <w:spacing w:after="0" w:line="240" w:lineRule="auto"/>
              <w:jc w:val="left"/>
              <w:rPr>
                <w:rFonts w:ascii="Arial" w:eastAsia="Times New Roman" w:hAnsi="Arial" w:cs="Arial"/>
                <w:color w:val="264A60"/>
                <w:sz w:val="18"/>
                <w:szCs w:val="18"/>
                <w:lang w:eastAsia="cs-CZ"/>
              </w:rPr>
            </w:pPr>
            <w:r w:rsidRPr="00D11051">
              <w:rPr>
                <w:rFonts w:ascii="Arial" w:eastAsia="Times New Roman" w:hAnsi="Arial" w:cs="Arial"/>
                <w:color w:val="264A60"/>
                <w:sz w:val="18"/>
                <w:szCs w:val="18"/>
                <w:lang w:eastAsia="cs-CZ"/>
              </w:rPr>
              <w:t>Záporná primární EBITDA</w:t>
            </w:r>
          </w:p>
        </w:tc>
        <w:tc>
          <w:tcPr>
            <w:tcW w:w="1155" w:type="dxa"/>
            <w:tcBorders>
              <w:top w:val="nil"/>
              <w:left w:val="single" w:sz="4" w:space="0" w:color="auto"/>
              <w:bottom w:val="single" w:sz="4" w:space="0" w:color="AEAEAE"/>
              <w:right w:val="nil"/>
            </w:tcBorders>
            <w:shd w:val="clear" w:color="auto" w:fill="auto"/>
            <w:noWrap/>
            <w:vAlign w:val="center"/>
            <w:hideMark/>
          </w:tcPr>
          <w:p w:rsidR="00740020" w:rsidRPr="00977D48" w:rsidRDefault="00740020" w:rsidP="00740020">
            <w:pPr>
              <w:spacing w:after="0" w:line="240" w:lineRule="auto"/>
              <w:jc w:val="center"/>
              <w:rPr>
                <w:rFonts w:ascii="Arial" w:eastAsia="Times New Roman" w:hAnsi="Arial" w:cs="Arial"/>
                <w:b/>
                <w:color w:val="010205"/>
                <w:sz w:val="18"/>
                <w:szCs w:val="18"/>
                <w:lang w:eastAsia="cs-CZ"/>
              </w:rPr>
            </w:pPr>
            <w:r w:rsidRPr="00977D48">
              <w:rPr>
                <w:rFonts w:ascii="Arial" w:eastAsia="Times New Roman" w:hAnsi="Arial" w:cs="Arial"/>
                <w:b/>
                <w:color w:val="010205"/>
                <w:sz w:val="18"/>
                <w:szCs w:val="18"/>
                <w:lang w:eastAsia="cs-CZ"/>
              </w:rPr>
              <w:t>87,0</w:t>
            </w:r>
            <w:r>
              <w:rPr>
                <w:rFonts w:ascii="Arial" w:eastAsia="Times New Roman" w:hAnsi="Arial" w:cs="Arial"/>
                <w:b/>
                <w:color w:val="010205"/>
                <w:sz w:val="18"/>
                <w:szCs w:val="18"/>
                <w:lang w:eastAsia="cs-CZ"/>
              </w:rPr>
              <w:t xml:space="preserve"> </w:t>
            </w:r>
            <w:r w:rsidRPr="00977D48">
              <w:rPr>
                <w:rFonts w:ascii="Arial" w:eastAsia="Times New Roman" w:hAnsi="Arial" w:cs="Arial"/>
                <w:b/>
                <w:color w:val="010205"/>
                <w:sz w:val="18"/>
                <w:szCs w:val="18"/>
                <w:lang w:eastAsia="cs-CZ"/>
              </w:rPr>
              <w:t>%</w:t>
            </w:r>
          </w:p>
        </w:tc>
        <w:tc>
          <w:tcPr>
            <w:tcW w:w="1155" w:type="dxa"/>
            <w:tcBorders>
              <w:top w:val="nil"/>
              <w:left w:val="single" w:sz="4" w:space="0" w:color="E0E0E0"/>
              <w:bottom w:val="single" w:sz="4" w:space="0" w:color="AEAEAE"/>
              <w:right w:val="single" w:sz="4" w:space="0" w:color="E0E0E0"/>
            </w:tcBorders>
            <w:shd w:val="clear" w:color="auto" w:fill="auto"/>
            <w:noWrap/>
            <w:vAlign w:val="center"/>
            <w:hideMark/>
          </w:tcPr>
          <w:p w:rsidR="00740020" w:rsidRPr="00977D48" w:rsidRDefault="00740020" w:rsidP="00740020">
            <w:pPr>
              <w:spacing w:after="0" w:line="240" w:lineRule="auto"/>
              <w:jc w:val="center"/>
              <w:rPr>
                <w:rFonts w:ascii="Arial" w:eastAsia="Times New Roman" w:hAnsi="Arial" w:cs="Arial"/>
                <w:b/>
                <w:color w:val="010205"/>
                <w:sz w:val="18"/>
                <w:szCs w:val="18"/>
                <w:lang w:eastAsia="cs-CZ"/>
              </w:rPr>
            </w:pPr>
            <w:r w:rsidRPr="00977D48">
              <w:rPr>
                <w:rFonts w:ascii="Arial" w:eastAsia="Times New Roman" w:hAnsi="Arial" w:cs="Arial"/>
                <w:b/>
                <w:color w:val="010205"/>
                <w:sz w:val="18"/>
                <w:szCs w:val="18"/>
                <w:lang w:eastAsia="cs-CZ"/>
              </w:rPr>
              <w:t>57,1</w:t>
            </w:r>
            <w:r>
              <w:rPr>
                <w:rFonts w:ascii="Arial" w:eastAsia="Times New Roman" w:hAnsi="Arial" w:cs="Arial"/>
                <w:b/>
                <w:color w:val="010205"/>
                <w:sz w:val="18"/>
                <w:szCs w:val="18"/>
                <w:lang w:eastAsia="cs-CZ"/>
              </w:rPr>
              <w:t xml:space="preserve"> </w:t>
            </w:r>
            <w:r w:rsidRPr="00977D48">
              <w:rPr>
                <w:rFonts w:ascii="Arial" w:eastAsia="Times New Roman" w:hAnsi="Arial" w:cs="Arial"/>
                <w:b/>
                <w:color w:val="010205"/>
                <w:sz w:val="18"/>
                <w:szCs w:val="18"/>
                <w:lang w:eastAsia="cs-CZ"/>
              </w:rPr>
              <w:t>%</w:t>
            </w:r>
          </w:p>
        </w:tc>
        <w:tc>
          <w:tcPr>
            <w:tcW w:w="1155" w:type="dxa"/>
            <w:tcBorders>
              <w:top w:val="nil"/>
              <w:left w:val="nil"/>
              <w:bottom w:val="single" w:sz="4" w:space="0" w:color="AEAEAE"/>
              <w:right w:val="single" w:sz="4" w:space="0" w:color="auto"/>
            </w:tcBorders>
            <w:shd w:val="clear" w:color="auto" w:fill="auto"/>
            <w:noWrap/>
            <w:vAlign w:val="center"/>
            <w:hideMark/>
          </w:tcPr>
          <w:p w:rsidR="00740020" w:rsidRPr="00977D48" w:rsidRDefault="00740020" w:rsidP="00740020">
            <w:pPr>
              <w:spacing w:after="0" w:line="240" w:lineRule="auto"/>
              <w:jc w:val="center"/>
              <w:rPr>
                <w:rFonts w:ascii="Arial" w:eastAsia="Times New Roman" w:hAnsi="Arial" w:cs="Arial"/>
                <w:b/>
                <w:color w:val="010205"/>
                <w:sz w:val="18"/>
                <w:szCs w:val="18"/>
                <w:lang w:eastAsia="cs-CZ"/>
              </w:rPr>
            </w:pPr>
            <w:r w:rsidRPr="00977D48">
              <w:rPr>
                <w:rFonts w:ascii="Arial" w:eastAsia="Times New Roman" w:hAnsi="Arial" w:cs="Arial"/>
                <w:b/>
                <w:color w:val="010205"/>
                <w:sz w:val="18"/>
                <w:szCs w:val="18"/>
                <w:lang w:eastAsia="cs-CZ"/>
              </w:rPr>
              <w:t>42,5</w:t>
            </w:r>
            <w:r>
              <w:rPr>
                <w:rFonts w:ascii="Arial" w:eastAsia="Times New Roman" w:hAnsi="Arial" w:cs="Arial"/>
                <w:b/>
                <w:color w:val="010205"/>
                <w:sz w:val="18"/>
                <w:szCs w:val="18"/>
                <w:lang w:eastAsia="cs-CZ"/>
              </w:rPr>
              <w:t xml:space="preserve"> </w:t>
            </w:r>
            <w:r w:rsidRPr="00977D48">
              <w:rPr>
                <w:rFonts w:ascii="Arial" w:eastAsia="Times New Roman" w:hAnsi="Arial" w:cs="Arial"/>
                <w:b/>
                <w:color w:val="010205"/>
                <w:sz w:val="18"/>
                <w:szCs w:val="18"/>
                <w:lang w:eastAsia="cs-CZ"/>
              </w:rPr>
              <w:t>%</w:t>
            </w:r>
          </w:p>
        </w:tc>
      </w:tr>
      <w:tr w:rsidR="00740020" w:rsidRPr="00D11051" w:rsidTr="00740020">
        <w:trPr>
          <w:trHeight w:val="295"/>
        </w:trPr>
        <w:tc>
          <w:tcPr>
            <w:tcW w:w="2684" w:type="dxa"/>
            <w:vMerge w:val="restart"/>
            <w:tcBorders>
              <w:top w:val="single" w:sz="4" w:space="0" w:color="152935"/>
              <w:left w:val="single" w:sz="4" w:space="0" w:color="auto"/>
              <w:bottom w:val="single" w:sz="4" w:space="0" w:color="AEAEAE"/>
              <w:right w:val="nil"/>
            </w:tcBorders>
            <w:shd w:val="clear" w:color="000000" w:fill="E0E0E0"/>
            <w:vAlign w:val="center"/>
            <w:hideMark/>
          </w:tcPr>
          <w:p w:rsidR="00740020" w:rsidRPr="00D11051" w:rsidRDefault="00740020" w:rsidP="00740020">
            <w:pPr>
              <w:spacing w:after="0" w:line="240" w:lineRule="auto"/>
              <w:jc w:val="left"/>
              <w:rPr>
                <w:rFonts w:ascii="Arial" w:eastAsia="Times New Roman" w:hAnsi="Arial" w:cs="Arial"/>
                <w:b/>
                <w:bCs/>
                <w:color w:val="264A60"/>
                <w:sz w:val="18"/>
                <w:szCs w:val="18"/>
                <w:lang w:eastAsia="cs-CZ"/>
              </w:rPr>
            </w:pPr>
            <w:r w:rsidRPr="00D11051">
              <w:rPr>
                <w:rFonts w:ascii="Arial" w:eastAsia="Times New Roman" w:hAnsi="Arial" w:cs="Arial"/>
                <w:b/>
                <w:bCs/>
                <w:color w:val="264A60"/>
                <w:sz w:val="18"/>
                <w:szCs w:val="18"/>
                <w:lang w:eastAsia="cs-CZ"/>
              </w:rPr>
              <w:t>Polarita deficitu nutné hotovosti</w:t>
            </w:r>
          </w:p>
        </w:tc>
        <w:tc>
          <w:tcPr>
            <w:tcW w:w="2931" w:type="dxa"/>
            <w:tcBorders>
              <w:top w:val="single" w:sz="4" w:space="0" w:color="152935"/>
              <w:left w:val="nil"/>
              <w:bottom w:val="single" w:sz="4" w:space="0" w:color="AEAEAE"/>
              <w:right w:val="nil"/>
            </w:tcBorders>
            <w:shd w:val="clear" w:color="000000" w:fill="E0E0E0"/>
            <w:vAlign w:val="center"/>
            <w:hideMark/>
          </w:tcPr>
          <w:p w:rsidR="00740020" w:rsidRPr="00D11051" w:rsidRDefault="00740020" w:rsidP="00740020">
            <w:pPr>
              <w:spacing w:after="0" w:line="240" w:lineRule="auto"/>
              <w:jc w:val="left"/>
              <w:rPr>
                <w:rFonts w:ascii="Arial" w:eastAsia="Times New Roman" w:hAnsi="Arial" w:cs="Arial"/>
                <w:color w:val="264A60"/>
                <w:sz w:val="18"/>
                <w:szCs w:val="18"/>
                <w:lang w:eastAsia="cs-CZ"/>
              </w:rPr>
            </w:pPr>
            <w:r w:rsidRPr="00D11051">
              <w:rPr>
                <w:rFonts w:ascii="Arial" w:eastAsia="Times New Roman" w:hAnsi="Arial" w:cs="Arial"/>
                <w:color w:val="264A60"/>
                <w:sz w:val="18"/>
                <w:szCs w:val="18"/>
                <w:lang w:eastAsia="cs-CZ"/>
              </w:rPr>
              <w:t>Přebytek nutné hotovosti</w:t>
            </w:r>
          </w:p>
        </w:tc>
        <w:tc>
          <w:tcPr>
            <w:tcW w:w="1155" w:type="dxa"/>
            <w:tcBorders>
              <w:top w:val="single" w:sz="4" w:space="0" w:color="152935"/>
              <w:left w:val="single" w:sz="4" w:space="0" w:color="auto"/>
              <w:bottom w:val="single" w:sz="4" w:space="0" w:color="AEAEAE"/>
              <w:right w:val="nil"/>
            </w:tcBorders>
            <w:shd w:val="clear" w:color="auto" w:fill="auto"/>
            <w:noWrap/>
            <w:vAlign w:val="center"/>
            <w:hideMark/>
          </w:tcPr>
          <w:p w:rsidR="00740020" w:rsidRPr="00D11051" w:rsidRDefault="00740020" w:rsidP="00740020">
            <w:pPr>
              <w:spacing w:after="0" w:line="240" w:lineRule="auto"/>
              <w:jc w:val="center"/>
              <w:rPr>
                <w:rFonts w:ascii="Arial" w:eastAsia="Times New Roman" w:hAnsi="Arial" w:cs="Arial"/>
                <w:color w:val="010205"/>
                <w:sz w:val="18"/>
                <w:szCs w:val="18"/>
                <w:lang w:eastAsia="cs-CZ"/>
              </w:rPr>
            </w:pPr>
            <w:r w:rsidRPr="00D11051">
              <w:rPr>
                <w:rFonts w:ascii="Arial" w:eastAsia="Times New Roman" w:hAnsi="Arial" w:cs="Arial"/>
                <w:color w:val="010205"/>
                <w:sz w:val="18"/>
                <w:szCs w:val="18"/>
                <w:lang w:eastAsia="cs-CZ"/>
              </w:rPr>
              <w:t>4,3</w:t>
            </w:r>
            <w:r>
              <w:rPr>
                <w:rFonts w:ascii="Arial" w:eastAsia="Times New Roman" w:hAnsi="Arial" w:cs="Arial"/>
                <w:color w:val="010205"/>
                <w:sz w:val="18"/>
                <w:szCs w:val="18"/>
                <w:lang w:eastAsia="cs-CZ"/>
              </w:rPr>
              <w:t xml:space="preserve"> </w:t>
            </w:r>
            <w:r w:rsidRPr="00D11051">
              <w:rPr>
                <w:rFonts w:ascii="Arial" w:eastAsia="Times New Roman" w:hAnsi="Arial" w:cs="Arial"/>
                <w:color w:val="010205"/>
                <w:sz w:val="18"/>
                <w:szCs w:val="18"/>
                <w:lang w:eastAsia="cs-CZ"/>
              </w:rPr>
              <w:t>%</w:t>
            </w:r>
          </w:p>
        </w:tc>
        <w:tc>
          <w:tcPr>
            <w:tcW w:w="1155" w:type="dxa"/>
            <w:tcBorders>
              <w:top w:val="single" w:sz="4" w:space="0" w:color="152935"/>
              <w:left w:val="single" w:sz="4" w:space="0" w:color="E0E0E0"/>
              <w:bottom w:val="single" w:sz="4" w:space="0" w:color="AEAEAE"/>
              <w:right w:val="single" w:sz="4" w:space="0" w:color="E0E0E0"/>
            </w:tcBorders>
            <w:shd w:val="clear" w:color="auto" w:fill="auto"/>
            <w:noWrap/>
            <w:vAlign w:val="center"/>
            <w:hideMark/>
          </w:tcPr>
          <w:p w:rsidR="00740020" w:rsidRPr="00D11051" w:rsidRDefault="00740020" w:rsidP="00740020">
            <w:pPr>
              <w:spacing w:after="0" w:line="240" w:lineRule="auto"/>
              <w:jc w:val="center"/>
              <w:rPr>
                <w:rFonts w:ascii="Arial" w:eastAsia="Times New Roman" w:hAnsi="Arial" w:cs="Arial"/>
                <w:color w:val="010205"/>
                <w:sz w:val="18"/>
                <w:szCs w:val="18"/>
                <w:lang w:eastAsia="cs-CZ"/>
              </w:rPr>
            </w:pPr>
            <w:r w:rsidRPr="00D11051">
              <w:rPr>
                <w:rFonts w:ascii="Arial" w:eastAsia="Times New Roman" w:hAnsi="Arial" w:cs="Arial"/>
                <w:color w:val="010205"/>
                <w:sz w:val="18"/>
                <w:szCs w:val="18"/>
                <w:lang w:eastAsia="cs-CZ"/>
              </w:rPr>
              <w:t>11,4</w:t>
            </w:r>
            <w:r>
              <w:rPr>
                <w:rFonts w:ascii="Arial" w:eastAsia="Times New Roman" w:hAnsi="Arial" w:cs="Arial"/>
                <w:color w:val="010205"/>
                <w:sz w:val="18"/>
                <w:szCs w:val="18"/>
                <w:lang w:eastAsia="cs-CZ"/>
              </w:rPr>
              <w:t xml:space="preserve"> </w:t>
            </w:r>
            <w:r w:rsidRPr="00D11051">
              <w:rPr>
                <w:rFonts w:ascii="Arial" w:eastAsia="Times New Roman" w:hAnsi="Arial" w:cs="Arial"/>
                <w:color w:val="010205"/>
                <w:sz w:val="18"/>
                <w:szCs w:val="18"/>
                <w:lang w:eastAsia="cs-CZ"/>
              </w:rPr>
              <w:t>%</w:t>
            </w:r>
          </w:p>
        </w:tc>
        <w:tc>
          <w:tcPr>
            <w:tcW w:w="1155" w:type="dxa"/>
            <w:tcBorders>
              <w:top w:val="single" w:sz="4" w:space="0" w:color="152935"/>
              <w:left w:val="nil"/>
              <w:bottom w:val="single" w:sz="4" w:space="0" w:color="AEAEAE"/>
              <w:right w:val="single" w:sz="4" w:space="0" w:color="auto"/>
            </w:tcBorders>
            <w:shd w:val="clear" w:color="auto" w:fill="auto"/>
            <w:noWrap/>
            <w:vAlign w:val="center"/>
            <w:hideMark/>
          </w:tcPr>
          <w:p w:rsidR="00740020" w:rsidRPr="00D11051" w:rsidRDefault="00740020" w:rsidP="00740020">
            <w:pPr>
              <w:spacing w:after="0" w:line="240" w:lineRule="auto"/>
              <w:jc w:val="center"/>
              <w:rPr>
                <w:rFonts w:ascii="Arial" w:eastAsia="Times New Roman" w:hAnsi="Arial" w:cs="Arial"/>
                <w:color w:val="010205"/>
                <w:sz w:val="18"/>
                <w:szCs w:val="18"/>
                <w:lang w:eastAsia="cs-CZ"/>
              </w:rPr>
            </w:pPr>
            <w:r w:rsidRPr="00D11051">
              <w:rPr>
                <w:rFonts w:ascii="Arial" w:eastAsia="Times New Roman" w:hAnsi="Arial" w:cs="Arial"/>
                <w:color w:val="010205"/>
                <w:sz w:val="18"/>
                <w:szCs w:val="18"/>
                <w:lang w:eastAsia="cs-CZ"/>
              </w:rPr>
              <w:t>7,5</w:t>
            </w:r>
            <w:r>
              <w:rPr>
                <w:rFonts w:ascii="Arial" w:eastAsia="Times New Roman" w:hAnsi="Arial" w:cs="Arial"/>
                <w:color w:val="010205"/>
                <w:sz w:val="18"/>
                <w:szCs w:val="18"/>
                <w:lang w:eastAsia="cs-CZ"/>
              </w:rPr>
              <w:t xml:space="preserve"> </w:t>
            </w:r>
            <w:r w:rsidRPr="00D11051">
              <w:rPr>
                <w:rFonts w:ascii="Arial" w:eastAsia="Times New Roman" w:hAnsi="Arial" w:cs="Arial"/>
                <w:color w:val="010205"/>
                <w:sz w:val="18"/>
                <w:szCs w:val="18"/>
                <w:lang w:eastAsia="cs-CZ"/>
              </w:rPr>
              <w:t>%</w:t>
            </w:r>
          </w:p>
        </w:tc>
      </w:tr>
      <w:tr w:rsidR="00740020" w:rsidRPr="00D11051" w:rsidTr="00740020">
        <w:trPr>
          <w:trHeight w:val="295"/>
        </w:trPr>
        <w:tc>
          <w:tcPr>
            <w:tcW w:w="2684" w:type="dxa"/>
            <w:vMerge/>
            <w:tcBorders>
              <w:top w:val="single" w:sz="4" w:space="0" w:color="152935"/>
              <w:left w:val="single" w:sz="4" w:space="0" w:color="auto"/>
              <w:bottom w:val="single" w:sz="4" w:space="0" w:color="AEAEAE"/>
              <w:right w:val="nil"/>
            </w:tcBorders>
            <w:vAlign w:val="center"/>
            <w:hideMark/>
          </w:tcPr>
          <w:p w:rsidR="00740020" w:rsidRPr="00D11051" w:rsidRDefault="00740020" w:rsidP="00740020">
            <w:pPr>
              <w:spacing w:after="0" w:line="240" w:lineRule="auto"/>
              <w:jc w:val="left"/>
              <w:rPr>
                <w:rFonts w:ascii="Arial" w:eastAsia="Times New Roman" w:hAnsi="Arial" w:cs="Arial"/>
                <w:b/>
                <w:bCs/>
                <w:color w:val="264A60"/>
                <w:sz w:val="18"/>
                <w:szCs w:val="18"/>
                <w:lang w:eastAsia="cs-CZ"/>
              </w:rPr>
            </w:pPr>
          </w:p>
        </w:tc>
        <w:tc>
          <w:tcPr>
            <w:tcW w:w="2931" w:type="dxa"/>
            <w:tcBorders>
              <w:top w:val="nil"/>
              <w:left w:val="nil"/>
              <w:bottom w:val="single" w:sz="4" w:space="0" w:color="AEAEAE"/>
              <w:right w:val="nil"/>
            </w:tcBorders>
            <w:shd w:val="clear" w:color="000000" w:fill="E0E0E0"/>
            <w:vAlign w:val="center"/>
            <w:hideMark/>
          </w:tcPr>
          <w:p w:rsidR="00740020" w:rsidRPr="00D11051" w:rsidRDefault="00740020" w:rsidP="00740020">
            <w:pPr>
              <w:spacing w:after="0" w:line="240" w:lineRule="auto"/>
              <w:jc w:val="left"/>
              <w:rPr>
                <w:rFonts w:ascii="Arial" w:eastAsia="Times New Roman" w:hAnsi="Arial" w:cs="Arial"/>
                <w:color w:val="264A60"/>
                <w:sz w:val="18"/>
                <w:szCs w:val="18"/>
                <w:lang w:eastAsia="cs-CZ"/>
              </w:rPr>
            </w:pPr>
            <w:r w:rsidRPr="00D11051">
              <w:rPr>
                <w:rFonts w:ascii="Arial" w:eastAsia="Times New Roman" w:hAnsi="Arial" w:cs="Arial"/>
                <w:color w:val="264A60"/>
                <w:sz w:val="18"/>
                <w:szCs w:val="18"/>
                <w:lang w:eastAsia="cs-CZ"/>
              </w:rPr>
              <w:t>Deficit nutné hotovosti</w:t>
            </w:r>
          </w:p>
        </w:tc>
        <w:tc>
          <w:tcPr>
            <w:tcW w:w="1155" w:type="dxa"/>
            <w:tcBorders>
              <w:top w:val="nil"/>
              <w:left w:val="single" w:sz="4" w:space="0" w:color="auto"/>
              <w:bottom w:val="single" w:sz="4" w:space="0" w:color="AEAEAE"/>
              <w:right w:val="nil"/>
            </w:tcBorders>
            <w:shd w:val="clear" w:color="auto" w:fill="auto"/>
            <w:noWrap/>
            <w:vAlign w:val="center"/>
            <w:hideMark/>
          </w:tcPr>
          <w:p w:rsidR="00740020" w:rsidRPr="00977D48" w:rsidRDefault="00740020" w:rsidP="00740020">
            <w:pPr>
              <w:spacing w:after="0" w:line="240" w:lineRule="auto"/>
              <w:jc w:val="center"/>
              <w:rPr>
                <w:rFonts w:ascii="Arial" w:eastAsia="Times New Roman" w:hAnsi="Arial" w:cs="Arial"/>
                <w:b/>
                <w:color w:val="010205"/>
                <w:sz w:val="18"/>
                <w:szCs w:val="18"/>
                <w:lang w:eastAsia="cs-CZ"/>
              </w:rPr>
            </w:pPr>
            <w:r w:rsidRPr="00977D48">
              <w:rPr>
                <w:rFonts w:ascii="Arial" w:eastAsia="Times New Roman" w:hAnsi="Arial" w:cs="Arial"/>
                <w:b/>
                <w:color w:val="010205"/>
                <w:sz w:val="18"/>
                <w:szCs w:val="18"/>
                <w:lang w:eastAsia="cs-CZ"/>
              </w:rPr>
              <w:t>95,7</w:t>
            </w:r>
            <w:r>
              <w:rPr>
                <w:rFonts w:ascii="Arial" w:eastAsia="Times New Roman" w:hAnsi="Arial" w:cs="Arial"/>
                <w:b/>
                <w:color w:val="010205"/>
                <w:sz w:val="18"/>
                <w:szCs w:val="18"/>
                <w:lang w:eastAsia="cs-CZ"/>
              </w:rPr>
              <w:t xml:space="preserve"> </w:t>
            </w:r>
            <w:r w:rsidRPr="00977D48">
              <w:rPr>
                <w:rFonts w:ascii="Arial" w:eastAsia="Times New Roman" w:hAnsi="Arial" w:cs="Arial"/>
                <w:b/>
                <w:color w:val="010205"/>
                <w:sz w:val="18"/>
                <w:szCs w:val="18"/>
                <w:lang w:eastAsia="cs-CZ"/>
              </w:rPr>
              <w:t>%</w:t>
            </w:r>
          </w:p>
        </w:tc>
        <w:tc>
          <w:tcPr>
            <w:tcW w:w="1155" w:type="dxa"/>
            <w:tcBorders>
              <w:top w:val="nil"/>
              <w:left w:val="single" w:sz="4" w:space="0" w:color="E0E0E0"/>
              <w:bottom w:val="single" w:sz="4" w:space="0" w:color="AEAEAE"/>
              <w:right w:val="single" w:sz="4" w:space="0" w:color="E0E0E0"/>
            </w:tcBorders>
            <w:shd w:val="clear" w:color="auto" w:fill="auto"/>
            <w:noWrap/>
            <w:vAlign w:val="center"/>
            <w:hideMark/>
          </w:tcPr>
          <w:p w:rsidR="00740020" w:rsidRPr="00977D48" w:rsidRDefault="00740020" w:rsidP="00740020">
            <w:pPr>
              <w:spacing w:after="0" w:line="240" w:lineRule="auto"/>
              <w:jc w:val="center"/>
              <w:rPr>
                <w:rFonts w:ascii="Arial" w:eastAsia="Times New Roman" w:hAnsi="Arial" w:cs="Arial"/>
                <w:b/>
                <w:color w:val="010205"/>
                <w:sz w:val="18"/>
                <w:szCs w:val="18"/>
                <w:lang w:eastAsia="cs-CZ"/>
              </w:rPr>
            </w:pPr>
            <w:r w:rsidRPr="00977D48">
              <w:rPr>
                <w:rFonts w:ascii="Arial" w:eastAsia="Times New Roman" w:hAnsi="Arial" w:cs="Arial"/>
                <w:b/>
                <w:color w:val="010205"/>
                <w:sz w:val="18"/>
                <w:szCs w:val="18"/>
                <w:lang w:eastAsia="cs-CZ"/>
              </w:rPr>
              <w:t>88,6</w:t>
            </w:r>
            <w:r>
              <w:rPr>
                <w:rFonts w:ascii="Arial" w:eastAsia="Times New Roman" w:hAnsi="Arial" w:cs="Arial"/>
                <w:b/>
                <w:color w:val="010205"/>
                <w:sz w:val="18"/>
                <w:szCs w:val="18"/>
                <w:lang w:eastAsia="cs-CZ"/>
              </w:rPr>
              <w:t xml:space="preserve"> </w:t>
            </w:r>
            <w:r w:rsidRPr="00977D48">
              <w:rPr>
                <w:rFonts w:ascii="Arial" w:eastAsia="Times New Roman" w:hAnsi="Arial" w:cs="Arial"/>
                <w:b/>
                <w:color w:val="010205"/>
                <w:sz w:val="18"/>
                <w:szCs w:val="18"/>
                <w:lang w:eastAsia="cs-CZ"/>
              </w:rPr>
              <w:t>%</w:t>
            </w:r>
          </w:p>
        </w:tc>
        <w:tc>
          <w:tcPr>
            <w:tcW w:w="1155" w:type="dxa"/>
            <w:tcBorders>
              <w:top w:val="nil"/>
              <w:left w:val="nil"/>
              <w:bottom w:val="single" w:sz="4" w:space="0" w:color="AEAEAE"/>
              <w:right w:val="single" w:sz="4" w:space="0" w:color="auto"/>
            </w:tcBorders>
            <w:shd w:val="clear" w:color="auto" w:fill="auto"/>
            <w:noWrap/>
            <w:vAlign w:val="center"/>
            <w:hideMark/>
          </w:tcPr>
          <w:p w:rsidR="00740020" w:rsidRPr="00977D48" w:rsidRDefault="00740020" w:rsidP="00740020">
            <w:pPr>
              <w:spacing w:after="0" w:line="240" w:lineRule="auto"/>
              <w:jc w:val="center"/>
              <w:rPr>
                <w:rFonts w:ascii="Arial" w:eastAsia="Times New Roman" w:hAnsi="Arial" w:cs="Arial"/>
                <w:b/>
                <w:color w:val="010205"/>
                <w:sz w:val="18"/>
                <w:szCs w:val="18"/>
                <w:lang w:eastAsia="cs-CZ"/>
              </w:rPr>
            </w:pPr>
            <w:r w:rsidRPr="00977D48">
              <w:rPr>
                <w:rFonts w:ascii="Arial" w:eastAsia="Times New Roman" w:hAnsi="Arial" w:cs="Arial"/>
                <w:b/>
                <w:color w:val="010205"/>
                <w:sz w:val="18"/>
                <w:szCs w:val="18"/>
                <w:lang w:eastAsia="cs-CZ"/>
              </w:rPr>
              <w:t>92,5</w:t>
            </w:r>
            <w:r>
              <w:rPr>
                <w:rFonts w:ascii="Arial" w:eastAsia="Times New Roman" w:hAnsi="Arial" w:cs="Arial"/>
                <w:b/>
                <w:color w:val="010205"/>
                <w:sz w:val="18"/>
                <w:szCs w:val="18"/>
                <w:lang w:eastAsia="cs-CZ"/>
              </w:rPr>
              <w:t xml:space="preserve"> </w:t>
            </w:r>
            <w:r w:rsidRPr="00977D48">
              <w:rPr>
                <w:rFonts w:ascii="Arial" w:eastAsia="Times New Roman" w:hAnsi="Arial" w:cs="Arial"/>
                <w:b/>
                <w:color w:val="010205"/>
                <w:sz w:val="18"/>
                <w:szCs w:val="18"/>
                <w:lang w:eastAsia="cs-CZ"/>
              </w:rPr>
              <w:t>%</w:t>
            </w:r>
          </w:p>
        </w:tc>
      </w:tr>
      <w:tr w:rsidR="00740020" w:rsidRPr="00D11051" w:rsidTr="00740020">
        <w:trPr>
          <w:trHeight w:val="295"/>
        </w:trPr>
        <w:tc>
          <w:tcPr>
            <w:tcW w:w="2684" w:type="dxa"/>
            <w:vMerge w:val="restart"/>
            <w:tcBorders>
              <w:top w:val="single" w:sz="4" w:space="0" w:color="152935"/>
              <w:left w:val="single" w:sz="4" w:space="0" w:color="auto"/>
              <w:bottom w:val="single" w:sz="4" w:space="0" w:color="AEAEAE"/>
              <w:right w:val="nil"/>
            </w:tcBorders>
            <w:shd w:val="clear" w:color="000000" w:fill="E0E0E0"/>
            <w:vAlign w:val="center"/>
            <w:hideMark/>
          </w:tcPr>
          <w:p w:rsidR="00740020" w:rsidRPr="00D11051" w:rsidRDefault="00740020" w:rsidP="00740020">
            <w:pPr>
              <w:spacing w:after="0" w:line="240" w:lineRule="auto"/>
              <w:jc w:val="left"/>
              <w:rPr>
                <w:rFonts w:ascii="Arial" w:eastAsia="Times New Roman" w:hAnsi="Arial" w:cs="Arial"/>
                <w:b/>
                <w:bCs/>
                <w:color w:val="264A60"/>
                <w:sz w:val="18"/>
                <w:szCs w:val="18"/>
                <w:lang w:eastAsia="cs-CZ"/>
              </w:rPr>
            </w:pPr>
            <w:r w:rsidRPr="00D11051">
              <w:rPr>
                <w:rFonts w:ascii="Arial" w:eastAsia="Times New Roman" w:hAnsi="Arial" w:cs="Arial"/>
                <w:b/>
                <w:bCs/>
                <w:color w:val="264A60"/>
                <w:sz w:val="18"/>
                <w:szCs w:val="18"/>
                <w:lang w:eastAsia="cs-CZ"/>
              </w:rPr>
              <w:t>Polarita salda primárních NS PK</w:t>
            </w:r>
          </w:p>
        </w:tc>
        <w:tc>
          <w:tcPr>
            <w:tcW w:w="2931" w:type="dxa"/>
            <w:tcBorders>
              <w:top w:val="single" w:sz="4" w:space="0" w:color="152935"/>
              <w:left w:val="nil"/>
              <w:bottom w:val="single" w:sz="4" w:space="0" w:color="AEAEAE"/>
              <w:right w:val="nil"/>
            </w:tcBorders>
            <w:shd w:val="clear" w:color="000000" w:fill="E0E0E0"/>
            <w:vAlign w:val="center"/>
            <w:hideMark/>
          </w:tcPr>
          <w:p w:rsidR="00740020" w:rsidRPr="00D11051" w:rsidRDefault="00740020" w:rsidP="00740020">
            <w:pPr>
              <w:spacing w:after="0" w:line="240" w:lineRule="auto"/>
              <w:jc w:val="left"/>
              <w:rPr>
                <w:rFonts w:ascii="Arial" w:eastAsia="Times New Roman" w:hAnsi="Arial" w:cs="Arial"/>
                <w:color w:val="264A60"/>
                <w:sz w:val="18"/>
                <w:szCs w:val="18"/>
                <w:lang w:eastAsia="cs-CZ"/>
              </w:rPr>
            </w:pPr>
            <w:r w:rsidRPr="00D11051">
              <w:rPr>
                <w:rFonts w:ascii="Arial" w:eastAsia="Times New Roman" w:hAnsi="Arial" w:cs="Arial"/>
                <w:color w:val="264A60"/>
                <w:sz w:val="18"/>
                <w:szCs w:val="18"/>
                <w:lang w:eastAsia="cs-CZ"/>
              </w:rPr>
              <w:t>Kladné primární NS PK</w:t>
            </w:r>
          </w:p>
        </w:tc>
        <w:tc>
          <w:tcPr>
            <w:tcW w:w="1155" w:type="dxa"/>
            <w:tcBorders>
              <w:top w:val="single" w:sz="4" w:space="0" w:color="152935"/>
              <w:left w:val="single" w:sz="4" w:space="0" w:color="auto"/>
              <w:bottom w:val="single" w:sz="4" w:space="0" w:color="AEAEAE"/>
              <w:right w:val="nil"/>
            </w:tcBorders>
            <w:shd w:val="clear" w:color="auto" w:fill="auto"/>
            <w:noWrap/>
            <w:vAlign w:val="center"/>
            <w:hideMark/>
          </w:tcPr>
          <w:p w:rsidR="00740020" w:rsidRPr="00D11051" w:rsidRDefault="00740020" w:rsidP="00740020">
            <w:pPr>
              <w:spacing w:after="0" w:line="240" w:lineRule="auto"/>
              <w:jc w:val="center"/>
              <w:rPr>
                <w:rFonts w:ascii="Arial" w:eastAsia="Times New Roman" w:hAnsi="Arial" w:cs="Arial"/>
                <w:color w:val="010205"/>
                <w:sz w:val="18"/>
                <w:szCs w:val="18"/>
                <w:lang w:eastAsia="cs-CZ"/>
              </w:rPr>
            </w:pPr>
            <w:r w:rsidRPr="00D11051">
              <w:rPr>
                <w:rFonts w:ascii="Arial" w:eastAsia="Times New Roman" w:hAnsi="Arial" w:cs="Arial"/>
                <w:color w:val="010205"/>
                <w:sz w:val="18"/>
                <w:szCs w:val="18"/>
                <w:lang w:eastAsia="cs-CZ"/>
              </w:rPr>
              <w:t>43,5</w:t>
            </w:r>
            <w:r>
              <w:rPr>
                <w:rFonts w:ascii="Arial" w:eastAsia="Times New Roman" w:hAnsi="Arial" w:cs="Arial"/>
                <w:color w:val="010205"/>
                <w:sz w:val="18"/>
                <w:szCs w:val="18"/>
                <w:lang w:eastAsia="cs-CZ"/>
              </w:rPr>
              <w:t xml:space="preserve"> </w:t>
            </w:r>
            <w:r w:rsidRPr="00D11051">
              <w:rPr>
                <w:rFonts w:ascii="Arial" w:eastAsia="Times New Roman" w:hAnsi="Arial" w:cs="Arial"/>
                <w:color w:val="010205"/>
                <w:sz w:val="18"/>
                <w:szCs w:val="18"/>
                <w:lang w:eastAsia="cs-CZ"/>
              </w:rPr>
              <w:t>%</w:t>
            </w:r>
          </w:p>
        </w:tc>
        <w:tc>
          <w:tcPr>
            <w:tcW w:w="1155" w:type="dxa"/>
            <w:tcBorders>
              <w:top w:val="single" w:sz="4" w:space="0" w:color="152935"/>
              <w:left w:val="single" w:sz="4" w:space="0" w:color="E0E0E0"/>
              <w:bottom w:val="single" w:sz="4" w:space="0" w:color="AEAEAE"/>
              <w:right w:val="single" w:sz="4" w:space="0" w:color="E0E0E0"/>
            </w:tcBorders>
            <w:shd w:val="clear" w:color="auto" w:fill="auto"/>
            <w:noWrap/>
            <w:vAlign w:val="center"/>
            <w:hideMark/>
          </w:tcPr>
          <w:p w:rsidR="00740020" w:rsidRPr="00977D48" w:rsidRDefault="00740020" w:rsidP="00740020">
            <w:pPr>
              <w:spacing w:after="0" w:line="240" w:lineRule="auto"/>
              <w:jc w:val="center"/>
              <w:rPr>
                <w:rFonts w:ascii="Arial" w:eastAsia="Times New Roman" w:hAnsi="Arial" w:cs="Arial"/>
                <w:b/>
                <w:color w:val="010205"/>
                <w:sz w:val="18"/>
                <w:szCs w:val="18"/>
                <w:lang w:eastAsia="cs-CZ"/>
              </w:rPr>
            </w:pPr>
            <w:r w:rsidRPr="00977D48">
              <w:rPr>
                <w:rFonts w:ascii="Arial" w:eastAsia="Times New Roman" w:hAnsi="Arial" w:cs="Arial"/>
                <w:b/>
                <w:color w:val="010205"/>
                <w:sz w:val="18"/>
                <w:szCs w:val="18"/>
                <w:lang w:eastAsia="cs-CZ"/>
              </w:rPr>
              <w:t>54,3</w:t>
            </w:r>
            <w:r>
              <w:rPr>
                <w:rFonts w:ascii="Arial" w:eastAsia="Times New Roman" w:hAnsi="Arial" w:cs="Arial"/>
                <w:b/>
                <w:color w:val="010205"/>
                <w:sz w:val="18"/>
                <w:szCs w:val="18"/>
                <w:lang w:eastAsia="cs-CZ"/>
              </w:rPr>
              <w:t xml:space="preserve"> </w:t>
            </w:r>
            <w:r w:rsidRPr="00977D48">
              <w:rPr>
                <w:rFonts w:ascii="Arial" w:eastAsia="Times New Roman" w:hAnsi="Arial" w:cs="Arial"/>
                <w:b/>
                <w:color w:val="010205"/>
                <w:sz w:val="18"/>
                <w:szCs w:val="18"/>
                <w:lang w:eastAsia="cs-CZ"/>
              </w:rPr>
              <w:t>%</w:t>
            </w:r>
          </w:p>
        </w:tc>
        <w:tc>
          <w:tcPr>
            <w:tcW w:w="1155" w:type="dxa"/>
            <w:tcBorders>
              <w:top w:val="single" w:sz="4" w:space="0" w:color="152935"/>
              <w:left w:val="nil"/>
              <w:bottom w:val="single" w:sz="4" w:space="0" w:color="AEAEAE"/>
              <w:right w:val="single" w:sz="4" w:space="0" w:color="auto"/>
            </w:tcBorders>
            <w:shd w:val="clear" w:color="auto" w:fill="auto"/>
            <w:noWrap/>
            <w:vAlign w:val="center"/>
            <w:hideMark/>
          </w:tcPr>
          <w:p w:rsidR="00740020" w:rsidRPr="00977D48" w:rsidRDefault="00740020" w:rsidP="00740020">
            <w:pPr>
              <w:spacing w:after="0" w:line="240" w:lineRule="auto"/>
              <w:jc w:val="center"/>
              <w:rPr>
                <w:rFonts w:ascii="Arial" w:eastAsia="Times New Roman" w:hAnsi="Arial" w:cs="Arial"/>
                <w:b/>
                <w:color w:val="010205"/>
                <w:sz w:val="18"/>
                <w:szCs w:val="18"/>
                <w:lang w:eastAsia="cs-CZ"/>
              </w:rPr>
            </w:pPr>
            <w:r w:rsidRPr="00977D48">
              <w:rPr>
                <w:rFonts w:ascii="Arial" w:eastAsia="Times New Roman" w:hAnsi="Arial" w:cs="Arial"/>
                <w:b/>
                <w:color w:val="010205"/>
                <w:sz w:val="18"/>
                <w:szCs w:val="18"/>
                <w:lang w:eastAsia="cs-CZ"/>
              </w:rPr>
              <w:t>62,5</w:t>
            </w:r>
            <w:r>
              <w:rPr>
                <w:rFonts w:ascii="Arial" w:eastAsia="Times New Roman" w:hAnsi="Arial" w:cs="Arial"/>
                <w:b/>
                <w:color w:val="010205"/>
                <w:sz w:val="18"/>
                <w:szCs w:val="18"/>
                <w:lang w:eastAsia="cs-CZ"/>
              </w:rPr>
              <w:t xml:space="preserve"> </w:t>
            </w:r>
            <w:r w:rsidRPr="00977D48">
              <w:rPr>
                <w:rFonts w:ascii="Arial" w:eastAsia="Times New Roman" w:hAnsi="Arial" w:cs="Arial"/>
                <w:b/>
                <w:color w:val="010205"/>
                <w:sz w:val="18"/>
                <w:szCs w:val="18"/>
                <w:lang w:eastAsia="cs-CZ"/>
              </w:rPr>
              <w:t>%</w:t>
            </w:r>
          </w:p>
        </w:tc>
      </w:tr>
      <w:tr w:rsidR="00740020" w:rsidRPr="00D11051" w:rsidTr="00740020">
        <w:trPr>
          <w:trHeight w:val="295"/>
        </w:trPr>
        <w:tc>
          <w:tcPr>
            <w:tcW w:w="2684" w:type="dxa"/>
            <w:vMerge/>
            <w:tcBorders>
              <w:top w:val="single" w:sz="4" w:space="0" w:color="152935"/>
              <w:left w:val="single" w:sz="4" w:space="0" w:color="auto"/>
              <w:bottom w:val="single" w:sz="4" w:space="0" w:color="AEAEAE"/>
              <w:right w:val="nil"/>
            </w:tcBorders>
            <w:vAlign w:val="center"/>
            <w:hideMark/>
          </w:tcPr>
          <w:p w:rsidR="00740020" w:rsidRPr="00D11051" w:rsidRDefault="00740020" w:rsidP="00740020">
            <w:pPr>
              <w:spacing w:after="0" w:line="240" w:lineRule="auto"/>
              <w:jc w:val="left"/>
              <w:rPr>
                <w:rFonts w:ascii="Arial" w:eastAsia="Times New Roman" w:hAnsi="Arial" w:cs="Arial"/>
                <w:b/>
                <w:bCs/>
                <w:color w:val="264A60"/>
                <w:sz w:val="18"/>
                <w:szCs w:val="18"/>
                <w:lang w:eastAsia="cs-CZ"/>
              </w:rPr>
            </w:pPr>
          </w:p>
        </w:tc>
        <w:tc>
          <w:tcPr>
            <w:tcW w:w="2931" w:type="dxa"/>
            <w:tcBorders>
              <w:top w:val="nil"/>
              <w:left w:val="nil"/>
              <w:bottom w:val="single" w:sz="4" w:space="0" w:color="AEAEAE"/>
              <w:right w:val="nil"/>
            </w:tcBorders>
            <w:shd w:val="clear" w:color="000000" w:fill="E0E0E0"/>
            <w:vAlign w:val="center"/>
            <w:hideMark/>
          </w:tcPr>
          <w:p w:rsidR="00740020" w:rsidRPr="00D11051" w:rsidRDefault="00740020" w:rsidP="00740020">
            <w:pPr>
              <w:spacing w:after="0" w:line="240" w:lineRule="auto"/>
              <w:jc w:val="left"/>
              <w:rPr>
                <w:rFonts w:ascii="Arial" w:eastAsia="Times New Roman" w:hAnsi="Arial" w:cs="Arial"/>
                <w:color w:val="264A60"/>
                <w:sz w:val="18"/>
                <w:szCs w:val="18"/>
                <w:lang w:eastAsia="cs-CZ"/>
              </w:rPr>
            </w:pPr>
            <w:r w:rsidRPr="00D11051">
              <w:rPr>
                <w:rFonts w:ascii="Arial" w:eastAsia="Times New Roman" w:hAnsi="Arial" w:cs="Arial"/>
                <w:color w:val="264A60"/>
                <w:sz w:val="18"/>
                <w:szCs w:val="18"/>
                <w:lang w:eastAsia="cs-CZ"/>
              </w:rPr>
              <w:t>Záporné primární NS PK</w:t>
            </w:r>
          </w:p>
        </w:tc>
        <w:tc>
          <w:tcPr>
            <w:tcW w:w="1155" w:type="dxa"/>
            <w:tcBorders>
              <w:top w:val="nil"/>
              <w:left w:val="single" w:sz="4" w:space="0" w:color="auto"/>
              <w:bottom w:val="single" w:sz="4" w:space="0" w:color="AEAEAE"/>
              <w:right w:val="nil"/>
            </w:tcBorders>
            <w:shd w:val="clear" w:color="auto" w:fill="auto"/>
            <w:noWrap/>
            <w:vAlign w:val="center"/>
            <w:hideMark/>
          </w:tcPr>
          <w:p w:rsidR="00740020" w:rsidRPr="00977D48" w:rsidRDefault="00740020" w:rsidP="00740020">
            <w:pPr>
              <w:spacing w:after="0" w:line="240" w:lineRule="auto"/>
              <w:jc w:val="center"/>
              <w:rPr>
                <w:rFonts w:ascii="Arial" w:eastAsia="Times New Roman" w:hAnsi="Arial" w:cs="Arial"/>
                <w:b/>
                <w:color w:val="010205"/>
                <w:sz w:val="18"/>
                <w:szCs w:val="18"/>
                <w:lang w:eastAsia="cs-CZ"/>
              </w:rPr>
            </w:pPr>
            <w:r w:rsidRPr="00977D48">
              <w:rPr>
                <w:rFonts w:ascii="Arial" w:eastAsia="Times New Roman" w:hAnsi="Arial" w:cs="Arial"/>
                <w:b/>
                <w:color w:val="010205"/>
                <w:sz w:val="18"/>
                <w:szCs w:val="18"/>
                <w:lang w:eastAsia="cs-CZ"/>
              </w:rPr>
              <w:t>56,5</w:t>
            </w:r>
            <w:r>
              <w:rPr>
                <w:rFonts w:ascii="Arial" w:eastAsia="Times New Roman" w:hAnsi="Arial" w:cs="Arial"/>
                <w:b/>
                <w:color w:val="010205"/>
                <w:sz w:val="18"/>
                <w:szCs w:val="18"/>
                <w:lang w:eastAsia="cs-CZ"/>
              </w:rPr>
              <w:t xml:space="preserve"> </w:t>
            </w:r>
            <w:r w:rsidRPr="00977D48">
              <w:rPr>
                <w:rFonts w:ascii="Arial" w:eastAsia="Times New Roman" w:hAnsi="Arial" w:cs="Arial"/>
                <w:b/>
                <w:color w:val="010205"/>
                <w:sz w:val="18"/>
                <w:szCs w:val="18"/>
                <w:lang w:eastAsia="cs-CZ"/>
              </w:rPr>
              <w:t>%</w:t>
            </w:r>
          </w:p>
        </w:tc>
        <w:tc>
          <w:tcPr>
            <w:tcW w:w="1155" w:type="dxa"/>
            <w:tcBorders>
              <w:top w:val="nil"/>
              <w:left w:val="single" w:sz="4" w:space="0" w:color="E0E0E0"/>
              <w:bottom w:val="single" w:sz="4" w:space="0" w:color="AEAEAE"/>
              <w:right w:val="single" w:sz="4" w:space="0" w:color="E0E0E0"/>
            </w:tcBorders>
            <w:shd w:val="clear" w:color="auto" w:fill="auto"/>
            <w:noWrap/>
            <w:vAlign w:val="center"/>
            <w:hideMark/>
          </w:tcPr>
          <w:p w:rsidR="00740020" w:rsidRPr="00D11051" w:rsidRDefault="00740020" w:rsidP="00740020">
            <w:pPr>
              <w:spacing w:after="0" w:line="240" w:lineRule="auto"/>
              <w:jc w:val="center"/>
              <w:rPr>
                <w:rFonts w:ascii="Arial" w:eastAsia="Times New Roman" w:hAnsi="Arial" w:cs="Arial"/>
                <w:color w:val="010205"/>
                <w:sz w:val="18"/>
                <w:szCs w:val="18"/>
                <w:lang w:eastAsia="cs-CZ"/>
              </w:rPr>
            </w:pPr>
            <w:r w:rsidRPr="00D11051">
              <w:rPr>
                <w:rFonts w:ascii="Arial" w:eastAsia="Times New Roman" w:hAnsi="Arial" w:cs="Arial"/>
                <w:color w:val="010205"/>
                <w:sz w:val="18"/>
                <w:szCs w:val="18"/>
                <w:lang w:eastAsia="cs-CZ"/>
              </w:rPr>
              <w:t>45,7</w:t>
            </w:r>
            <w:r>
              <w:rPr>
                <w:rFonts w:ascii="Arial" w:eastAsia="Times New Roman" w:hAnsi="Arial" w:cs="Arial"/>
                <w:color w:val="010205"/>
                <w:sz w:val="18"/>
                <w:szCs w:val="18"/>
                <w:lang w:eastAsia="cs-CZ"/>
              </w:rPr>
              <w:t xml:space="preserve"> </w:t>
            </w:r>
            <w:r w:rsidRPr="00D11051">
              <w:rPr>
                <w:rFonts w:ascii="Arial" w:eastAsia="Times New Roman" w:hAnsi="Arial" w:cs="Arial"/>
                <w:color w:val="010205"/>
                <w:sz w:val="18"/>
                <w:szCs w:val="18"/>
                <w:lang w:eastAsia="cs-CZ"/>
              </w:rPr>
              <w:t>%</w:t>
            </w:r>
          </w:p>
        </w:tc>
        <w:tc>
          <w:tcPr>
            <w:tcW w:w="1155" w:type="dxa"/>
            <w:tcBorders>
              <w:top w:val="nil"/>
              <w:left w:val="nil"/>
              <w:bottom w:val="single" w:sz="4" w:space="0" w:color="AEAEAE"/>
              <w:right w:val="single" w:sz="4" w:space="0" w:color="auto"/>
            </w:tcBorders>
            <w:shd w:val="clear" w:color="auto" w:fill="auto"/>
            <w:noWrap/>
            <w:vAlign w:val="center"/>
            <w:hideMark/>
          </w:tcPr>
          <w:p w:rsidR="00740020" w:rsidRPr="00D11051" w:rsidRDefault="00740020" w:rsidP="00740020">
            <w:pPr>
              <w:spacing w:after="0" w:line="240" w:lineRule="auto"/>
              <w:jc w:val="center"/>
              <w:rPr>
                <w:rFonts w:ascii="Arial" w:eastAsia="Times New Roman" w:hAnsi="Arial" w:cs="Arial"/>
                <w:color w:val="010205"/>
                <w:sz w:val="18"/>
                <w:szCs w:val="18"/>
                <w:lang w:eastAsia="cs-CZ"/>
              </w:rPr>
            </w:pPr>
            <w:r w:rsidRPr="00D11051">
              <w:rPr>
                <w:rFonts w:ascii="Arial" w:eastAsia="Times New Roman" w:hAnsi="Arial" w:cs="Arial"/>
                <w:color w:val="010205"/>
                <w:sz w:val="18"/>
                <w:szCs w:val="18"/>
                <w:lang w:eastAsia="cs-CZ"/>
              </w:rPr>
              <w:t>37,5</w:t>
            </w:r>
            <w:r>
              <w:rPr>
                <w:rFonts w:ascii="Arial" w:eastAsia="Times New Roman" w:hAnsi="Arial" w:cs="Arial"/>
                <w:color w:val="010205"/>
                <w:sz w:val="18"/>
                <w:szCs w:val="18"/>
                <w:lang w:eastAsia="cs-CZ"/>
              </w:rPr>
              <w:t xml:space="preserve"> </w:t>
            </w:r>
            <w:r w:rsidRPr="00D11051">
              <w:rPr>
                <w:rFonts w:ascii="Arial" w:eastAsia="Times New Roman" w:hAnsi="Arial" w:cs="Arial"/>
                <w:color w:val="010205"/>
                <w:sz w:val="18"/>
                <w:szCs w:val="18"/>
                <w:lang w:eastAsia="cs-CZ"/>
              </w:rPr>
              <w:t>%</w:t>
            </w:r>
          </w:p>
        </w:tc>
      </w:tr>
      <w:tr w:rsidR="00740020" w:rsidRPr="00D11051" w:rsidTr="00740020">
        <w:trPr>
          <w:trHeight w:val="295"/>
        </w:trPr>
        <w:tc>
          <w:tcPr>
            <w:tcW w:w="2684" w:type="dxa"/>
            <w:vMerge w:val="restart"/>
            <w:tcBorders>
              <w:top w:val="single" w:sz="4" w:space="0" w:color="152935"/>
              <w:left w:val="single" w:sz="4" w:space="0" w:color="auto"/>
              <w:bottom w:val="single" w:sz="4" w:space="0" w:color="000000"/>
              <w:right w:val="nil"/>
            </w:tcBorders>
            <w:shd w:val="clear" w:color="000000" w:fill="E0E0E0"/>
            <w:vAlign w:val="center"/>
            <w:hideMark/>
          </w:tcPr>
          <w:p w:rsidR="00740020" w:rsidRPr="00D11051" w:rsidRDefault="00740020" w:rsidP="00740020">
            <w:pPr>
              <w:spacing w:after="0" w:line="240" w:lineRule="auto"/>
              <w:jc w:val="left"/>
              <w:rPr>
                <w:rFonts w:ascii="Arial" w:eastAsia="Times New Roman" w:hAnsi="Arial" w:cs="Arial"/>
                <w:b/>
                <w:bCs/>
                <w:color w:val="264A60"/>
                <w:sz w:val="18"/>
                <w:szCs w:val="18"/>
                <w:lang w:eastAsia="cs-CZ"/>
              </w:rPr>
            </w:pPr>
            <w:r w:rsidRPr="00D11051">
              <w:rPr>
                <w:rFonts w:ascii="Arial" w:eastAsia="Times New Roman" w:hAnsi="Arial" w:cs="Arial"/>
                <w:b/>
                <w:bCs/>
                <w:color w:val="264A60"/>
                <w:sz w:val="18"/>
                <w:szCs w:val="18"/>
                <w:lang w:eastAsia="cs-CZ"/>
              </w:rPr>
              <w:t>Polarita vlastního kapitálu</w:t>
            </w:r>
          </w:p>
        </w:tc>
        <w:tc>
          <w:tcPr>
            <w:tcW w:w="2931" w:type="dxa"/>
            <w:tcBorders>
              <w:top w:val="single" w:sz="4" w:space="0" w:color="152935"/>
              <w:left w:val="nil"/>
              <w:bottom w:val="single" w:sz="4" w:space="0" w:color="AEAEAE"/>
              <w:right w:val="nil"/>
            </w:tcBorders>
            <w:shd w:val="clear" w:color="000000" w:fill="E0E0E0"/>
            <w:vAlign w:val="center"/>
            <w:hideMark/>
          </w:tcPr>
          <w:p w:rsidR="00740020" w:rsidRPr="00D11051" w:rsidRDefault="00740020" w:rsidP="00740020">
            <w:pPr>
              <w:spacing w:after="0" w:line="240" w:lineRule="auto"/>
              <w:jc w:val="left"/>
              <w:rPr>
                <w:rFonts w:ascii="Arial" w:eastAsia="Times New Roman" w:hAnsi="Arial" w:cs="Arial"/>
                <w:color w:val="264A60"/>
                <w:sz w:val="18"/>
                <w:szCs w:val="18"/>
                <w:lang w:eastAsia="cs-CZ"/>
              </w:rPr>
            </w:pPr>
            <w:r w:rsidRPr="00D11051">
              <w:rPr>
                <w:rFonts w:ascii="Arial" w:eastAsia="Times New Roman" w:hAnsi="Arial" w:cs="Arial"/>
                <w:color w:val="264A60"/>
                <w:sz w:val="18"/>
                <w:szCs w:val="18"/>
                <w:lang w:eastAsia="cs-CZ"/>
              </w:rPr>
              <w:t>Kladný VK</w:t>
            </w:r>
          </w:p>
        </w:tc>
        <w:tc>
          <w:tcPr>
            <w:tcW w:w="1155" w:type="dxa"/>
            <w:tcBorders>
              <w:top w:val="single" w:sz="4" w:space="0" w:color="152935"/>
              <w:left w:val="single" w:sz="4" w:space="0" w:color="auto"/>
              <w:bottom w:val="single" w:sz="4" w:space="0" w:color="AEAEAE"/>
              <w:right w:val="nil"/>
            </w:tcBorders>
            <w:shd w:val="clear" w:color="auto" w:fill="auto"/>
            <w:noWrap/>
            <w:vAlign w:val="center"/>
            <w:hideMark/>
          </w:tcPr>
          <w:p w:rsidR="00740020" w:rsidRPr="00977D48" w:rsidRDefault="00740020" w:rsidP="00740020">
            <w:pPr>
              <w:spacing w:after="0" w:line="240" w:lineRule="auto"/>
              <w:jc w:val="center"/>
              <w:rPr>
                <w:rFonts w:ascii="Arial" w:eastAsia="Times New Roman" w:hAnsi="Arial" w:cs="Arial"/>
                <w:b/>
                <w:color w:val="010205"/>
                <w:sz w:val="18"/>
                <w:szCs w:val="18"/>
                <w:lang w:eastAsia="cs-CZ"/>
              </w:rPr>
            </w:pPr>
            <w:r w:rsidRPr="00977D48">
              <w:rPr>
                <w:rFonts w:ascii="Arial" w:eastAsia="Times New Roman" w:hAnsi="Arial" w:cs="Arial"/>
                <w:b/>
                <w:color w:val="010205"/>
                <w:sz w:val="18"/>
                <w:szCs w:val="18"/>
                <w:lang w:eastAsia="cs-CZ"/>
              </w:rPr>
              <w:t>52,2</w:t>
            </w:r>
            <w:r>
              <w:rPr>
                <w:rFonts w:ascii="Arial" w:eastAsia="Times New Roman" w:hAnsi="Arial" w:cs="Arial"/>
                <w:b/>
                <w:color w:val="010205"/>
                <w:sz w:val="18"/>
                <w:szCs w:val="18"/>
                <w:lang w:eastAsia="cs-CZ"/>
              </w:rPr>
              <w:t xml:space="preserve"> </w:t>
            </w:r>
            <w:r w:rsidRPr="00977D48">
              <w:rPr>
                <w:rFonts w:ascii="Arial" w:eastAsia="Times New Roman" w:hAnsi="Arial" w:cs="Arial"/>
                <w:b/>
                <w:color w:val="010205"/>
                <w:sz w:val="18"/>
                <w:szCs w:val="18"/>
                <w:lang w:eastAsia="cs-CZ"/>
              </w:rPr>
              <w:t>%</w:t>
            </w:r>
          </w:p>
        </w:tc>
        <w:tc>
          <w:tcPr>
            <w:tcW w:w="1155" w:type="dxa"/>
            <w:tcBorders>
              <w:top w:val="single" w:sz="4" w:space="0" w:color="152935"/>
              <w:left w:val="single" w:sz="4" w:space="0" w:color="E0E0E0"/>
              <w:bottom w:val="single" w:sz="4" w:space="0" w:color="AEAEAE"/>
              <w:right w:val="single" w:sz="4" w:space="0" w:color="E0E0E0"/>
            </w:tcBorders>
            <w:shd w:val="clear" w:color="auto" w:fill="auto"/>
            <w:noWrap/>
            <w:vAlign w:val="center"/>
            <w:hideMark/>
          </w:tcPr>
          <w:p w:rsidR="00740020" w:rsidRPr="00977D48" w:rsidRDefault="00740020" w:rsidP="00740020">
            <w:pPr>
              <w:spacing w:after="0" w:line="240" w:lineRule="auto"/>
              <w:jc w:val="center"/>
              <w:rPr>
                <w:rFonts w:ascii="Arial" w:eastAsia="Times New Roman" w:hAnsi="Arial" w:cs="Arial"/>
                <w:b/>
                <w:color w:val="010205"/>
                <w:sz w:val="18"/>
                <w:szCs w:val="18"/>
                <w:lang w:eastAsia="cs-CZ"/>
              </w:rPr>
            </w:pPr>
            <w:r w:rsidRPr="00977D48">
              <w:rPr>
                <w:rFonts w:ascii="Arial" w:eastAsia="Times New Roman" w:hAnsi="Arial" w:cs="Arial"/>
                <w:b/>
                <w:color w:val="010205"/>
                <w:sz w:val="18"/>
                <w:szCs w:val="18"/>
                <w:lang w:eastAsia="cs-CZ"/>
              </w:rPr>
              <w:t>77,1</w:t>
            </w:r>
            <w:r>
              <w:rPr>
                <w:rFonts w:ascii="Arial" w:eastAsia="Times New Roman" w:hAnsi="Arial" w:cs="Arial"/>
                <w:b/>
                <w:color w:val="010205"/>
                <w:sz w:val="18"/>
                <w:szCs w:val="18"/>
                <w:lang w:eastAsia="cs-CZ"/>
              </w:rPr>
              <w:t xml:space="preserve"> </w:t>
            </w:r>
            <w:r w:rsidRPr="00977D48">
              <w:rPr>
                <w:rFonts w:ascii="Arial" w:eastAsia="Times New Roman" w:hAnsi="Arial" w:cs="Arial"/>
                <w:b/>
                <w:color w:val="010205"/>
                <w:sz w:val="18"/>
                <w:szCs w:val="18"/>
                <w:lang w:eastAsia="cs-CZ"/>
              </w:rPr>
              <w:t>%</w:t>
            </w:r>
          </w:p>
        </w:tc>
        <w:tc>
          <w:tcPr>
            <w:tcW w:w="1155" w:type="dxa"/>
            <w:tcBorders>
              <w:top w:val="single" w:sz="4" w:space="0" w:color="152935"/>
              <w:left w:val="nil"/>
              <w:bottom w:val="single" w:sz="4" w:space="0" w:color="AEAEAE"/>
              <w:right w:val="single" w:sz="4" w:space="0" w:color="auto"/>
            </w:tcBorders>
            <w:shd w:val="clear" w:color="auto" w:fill="auto"/>
            <w:noWrap/>
            <w:vAlign w:val="center"/>
            <w:hideMark/>
          </w:tcPr>
          <w:p w:rsidR="00740020" w:rsidRPr="00977D48" w:rsidRDefault="00740020" w:rsidP="00740020">
            <w:pPr>
              <w:spacing w:after="0" w:line="240" w:lineRule="auto"/>
              <w:jc w:val="center"/>
              <w:rPr>
                <w:rFonts w:ascii="Arial" w:eastAsia="Times New Roman" w:hAnsi="Arial" w:cs="Arial"/>
                <w:b/>
                <w:color w:val="010205"/>
                <w:sz w:val="18"/>
                <w:szCs w:val="18"/>
                <w:lang w:eastAsia="cs-CZ"/>
              </w:rPr>
            </w:pPr>
            <w:r w:rsidRPr="00977D48">
              <w:rPr>
                <w:rFonts w:ascii="Arial" w:eastAsia="Times New Roman" w:hAnsi="Arial" w:cs="Arial"/>
                <w:b/>
                <w:color w:val="010205"/>
                <w:sz w:val="18"/>
                <w:szCs w:val="18"/>
                <w:lang w:eastAsia="cs-CZ"/>
              </w:rPr>
              <w:t>77,5</w:t>
            </w:r>
            <w:r>
              <w:rPr>
                <w:rFonts w:ascii="Arial" w:eastAsia="Times New Roman" w:hAnsi="Arial" w:cs="Arial"/>
                <w:b/>
                <w:color w:val="010205"/>
                <w:sz w:val="18"/>
                <w:szCs w:val="18"/>
                <w:lang w:eastAsia="cs-CZ"/>
              </w:rPr>
              <w:t xml:space="preserve"> </w:t>
            </w:r>
            <w:r w:rsidRPr="00977D48">
              <w:rPr>
                <w:rFonts w:ascii="Arial" w:eastAsia="Times New Roman" w:hAnsi="Arial" w:cs="Arial"/>
                <w:b/>
                <w:color w:val="010205"/>
                <w:sz w:val="18"/>
                <w:szCs w:val="18"/>
                <w:lang w:eastAsia="cs-CZ"/>
              </w:rPr>
              <w:t>%</w:t>
            </w:r>
          </w:p>
        </w:tc>
      </w:tr>
      <w:tr w:rsidR="00740020" w:rsidRPr="00D11051" w:rsidTr="00740020">
        <w:trPr>
          <w:trHeight w:val="295"/>
        </w:trPr>
        <w:tc>
          <w:tcPr>
            <w:tcW w:w="2684" w:type="dxa"/>
            <w:vMerge/>
            <w:tcBorders>
              <w:top w:val="single" w:sz="4" w:space="0" w:color="152935"/>
              <w:left w:val="single" w:sz="4" w:space="0" w:color="auto"/>
              <w:bottom w:val="single" w:sz="4" w:space="0" w:color="000000"/>
              <w:right w:val="nil"/>
            </w:tcBorders>
            <w:vAlign w:val="center"/>
            <w:hideMark/>
          </w:tcPr>
          <w:p w:rsidR="00740020" w:rsidRPr="00D11051" w:rsidRDefault="00740020" w:rsidP="00740020">
            <w:pPr>
              <w:spacing w:after="0" w:line="240" w:lineRule="auto"/>
              <w:jc w:val="left"/>
              <w:rPr>
                <w:rFonts w:ascii="Arial" w:eastAsia="Times New Roman" w:hAnsi="Arial" w:cs="Arial"/>
                <w:b/>
                <w:bCs/>
                <w:color w:val="264A60"/>
                <w:sz w:val="18"/>
                <w:szCs w:val="18"/>
                <w:lang w:eastAsia="cs-CZ"/>
              </w:rPr>
            </w:pPr>
          </w:p>
        </w:tc>
        <w:tc>
          <w:tcPr>
            <w:tcW w:w="2931" w:type="dxa"/>
            <w:tcBorders>
              <w:top w:val="nil"/>
              <w:left w:val="nil"/>
              <w:bottom w:val="single" w:sz="4" w:space="0" w:color="auto"/>
              <w:right w:val="nil"/>
            </w:tcBorders>
            <w:shd w:val="clear" w:color="000000" w:fill="E0E0E0"/>
            <w:vAlign w:val="center"/>
            <w:hideMark/>
          </w:tcPr>
          <w:p w:rsidR="00740020" w:rsidRPr="00D11051" w:rsidRDefault="00740020" w:rsidP="00740020">
            <w:pPr>
              <w:spacing w:after="0" w:line="240" w:lineRule="auto"/>
              <w:jc w:val="left"/>
              <w:rPr>
                <w:rFonts w:ascii="Arial" w:eastAsia="Times New Roman" w:hAnsi="Arial" w:cs="Arial"/>
                <w:color w:val="264A60"/>
                <w:sz w:val="18"/>
                <w:szCs w:val="18"/>
                <w:lang w:eastAsia="cs-CZ"/>
              </w:rPr>
            </w:pPr>
            <w:r w:rsidRPr="00D11051">
              <w:rPr>
                <w:rFonts w:ascii="Arial" w:eastAsia="Times New Roman" w:hAnsi="Arial" w:cs="Arial"/>
                <w:color w:val="264A60"/>
                <w:sz w:val="18"/>
                <w:szCs w:val="18"/>
                <w:lang w:eastAsia="cs-CZ"/>
              </w:rPr>
              <w:t>Záporný VK</w:t>
            </w:r>
          </w:p>
        </w:tc>
        <w:tc>
          <w:tcPr>
            <w:tcW w:w="1155" w:type="dxa"/>
            <w:tcBorders>
              <w:top w:val="nil"/>
              <w:left w:val="single" w:sz="4" w:space="0" w:color="auto"/>
              <w:bottom w:val="single" w:sz="4" w:space="0" w:color="auto"/>
              <w:right w:val="nil"/>
            </w:tcBorders>
            <w:shd w:val="clear" w:color="auto" w:fill="auto"/>
            <w:noWrap/>
            <w:vAlign w:val="center"/>
            <w:hideMark/>
          </w:tcPr>
          <w:p w:rsidR="00740020" w:rsidRPr="00D11051" w:rsidRDefault="00740020" w:rsidP="00740020">
            <w:pPr>
              <w:spacing w:after="0" w:line="240" w:lineRule="auto"/>
              <w:jc w:val="center"/>
              <w:rPr>
                <w:rFonts w:ascii="Arial" w:eastAsia="Times New Roman" w:hAnsi="Arial" w:cs="Arial"/>
                <w:color w:val="010205"/>
                <w:sz w:val="18"/>
                <w:szCs w:val="18"/>
                <w:lang w:eastAsia="cs-CZ"/>
              </w:rPr>
            </w:pPr>
            <w:r w:rsidRPr="00D11051">
              <w:rPr>
                <w:rFonts w:ascii="Arial" w:eastAsia="Times New Roman" w:hAnsi="Arial" w:cs="Arial"/>
                <w:color w:val="010205"/>
                <w:sz w:val="18"/>
                <w:szCs w:val="18"/>
                <w:lang w:eastAsia="cs-CZ"/>
              </w:rPr>
              <w:t>47,8</w:t>
            </w:r>
            <w:r>
              <w:rPr>
                <w:rFonts w:ascii="Arial" w:eastAsia="Times New Roman" w:hAnsi="Arial" w:cs="Arial"/>
                <w:color w:val="010205"/>
                <w:sz w:val="18"/>
                <w:szCs w:val="18"/>
                <w:lang w:eastAsia="cs-CZ"/>
              </w:rPr>
              <w:t xml:space="preserve"> </w:t>
            </w:r>
            <w:r w:rsidRPr="00D11051">
              <w:rPr>
                <w:rFonts w:ascii="Arial" w:eastAsia="Times New Roman" w:hAnsi="Arial" w:cs="Arial"/>
                <w:color w:val="010205"/>
                <w:sz w:val="18"/>
                <w:szCs w:val="18"/>
                <w:lang w:eastAsia="cs-CZ"/>
              </w:rPr>
              <w:t>%</w:t>
            </w:r>
          </w:p>
        </w:tc>
        <w:tc>
          <w:tcPr>
            <w:tcW w:w="1155" w:type="dxa"/>
            <w:tcBorders>
              <w:top w:val="nil"/>
              <w:left w:val="single" w:sz="4" w:space="0" w:color="E0E0E0"/>
              <w:bottom w:val="single" w:sz="4" w:space="0" w:color="auto"/>
              <w:right w:val="single" w:sz="4" w:space="0" w:color="E0E0E0"/>
            </w:tcBorders>
            <w:shd w:val="clear" w:color="auto" w:fill="auto"/>
            <w:noWrap/>
            <w:vAlign w:val="center"/>
            <w:hideMark/>
          </w:tcPr>
          <w:p w:rsidR="00740020" w:rsidRPr="00D11051" w:rsidRDefault="00740020" w:rsidP="00740020">
            <w:pPr>
              <w:spacing w:after="0" w:line="240" w:lineRule="auto"/>
              <w:jc w:val="center"/>
              <w:rPr>
                <w:rFonts w:ascii="Arial" w:eastAsia="Times New Roman" w:hAnsi="Arial" w:cs="Arial"/>
                <w:color w:val="010205"/>
                <w:sz w:val="18"/>
                <w:szCs w:val="18"/>
                <w:lang w:eastAsia="cs-CZ"/>
              </w:rPr>
            </w:pPr>
            <w:r w:rsidRPr="00D11051">
              <w:rPr>
                <w:rFonts w:ascii="Arial" w:eastAsia="Times New Roman" w:hAnsi="Arial" w:cs="Arial"/>
                <w:color w:val="010205"/>
                <w:sz w:val="18"/>
                <w:szCs w:val="18"/>
                <w:lang w:eastAsia="cs-CZ"/>
              </w:rPr>
              <w:t>22,9</w:t>
            </w:r>
            <w:r>
              <w:rPr>
                <w:rFonts w:ascii="Arial" w:eastAsia="Times New Roman" w:hAnsi="Arial" w:cs="Arial"/>
                <w:color w:val="010205"/>
                <w:sz w:val="18"/>
                <w:szCs w:val="18"/>
                <w:lang w:eastAsia="cs-CZ"/>
              </w:rPr>
              <w:t xml:space="preserve"> </w:t>
            </w:r>
            <w:r w:rsidRPr="00D11051">
              <w:rPr>
                <w:rFonts w:ascii="Arial" w:eastAsia="Times New Roman" w:hAnsi="Arial" w:cs="Arial"/>
                <w:color w:val="010205"/>
                <w:sz w:val="18"/>
                <w:szCs w:val="18"/>
                <w:lang w:eastAsia="cs-CZ"/>
              </w:rPr>
              <w:t>%</w:t>
            </w:r>
          </w:p>
        </w:tc>
        <w:tc>
          <w:tcPr>
            <w:tcW w:w="1155" w:type="dxa"/>
            <w:tcBorders>
              <w:top w:val="nil"/>
              <w:left w:val="nil"/>
              <w:bottom w:val="single" w:sz="4" w:space="0" w:color="auto"/>
              <w:right w:val="single" w:sz="4" w:space="0" w:color="auto"/>
            </w:tcBorders>
            <w:shd w:val="clear" w:color="auto" w:fill="auto"/>
            <w:noWrap/>
            <w:vAlign w:val="center"/>
            <w:hideMark/>
          </w:tcPr>
          <w:p w:rsidR="00740020" w:rsidRPr="00D11051" w:rsidRDefault="00740020" w:rsidP="00740020">
            <w:pPr>
              <w:spacing w:after="0" w:line="240" w:lineRule="auto"/>
              <w:jc w:val="center"/>
              <w:rPr>
                <w:rFonts w:ascii="Arial" w:eastAsia="Times New Roman" w:hAnsi="Arial" w:cs="Arial"/>
                <w:color w:val="010205"/>
                <w:sz w:val="18"/>
                <w:szCs w:val="18"/>
                <w:lang w:eastAsia="cs-CZ"/>
              </w:rPr>
            </w:pPr>
            <w:r w:rsidRPr="00D11051">
              <w:rPr>
                <w:rFonts w:ascii="Arial" w:eastAsia="Times New Roman" w:hAnsi="Arial" w:cs="Arial"/>
                <w:color w:val="010205"/>
                <w:sz w:val="18"/>
                <w:szCs w:val="18"/>
                <w:lang w:eastAsia="cs-CZ"/>
              </w:rPr>
              <w:t>22,5</w:t>
            </w:r>
            <w:r>
              <w:rPr>
                <w:rFonts w:ascii="Arial" w:eastAsia="Times New Roman" w:hAnsi="Arial" w:cs="Arial"/>
                <w:color w:val="010205"/>
                <w:sz w:val="18"/>
                <w:szCs w:val="18"/>
                <w:lang w:eastAsia="cs-CZ"/>
              </w:rPr>
              <w:t xml:space="preserve"> </w:t>
            </w:r>
            <w:r w:rsidRPr="00D11051">
              <w:rPr>
                <w:rFonts w:ascii="Arial" w:eastAsia="Times New Roman" w:hAnsi="Arial" w:cs="Arial"/>
                <w:color w:val="010205"/>
                <w:sz w:val="18"/>
                <w:szCs w:val="18"/>
                <w:lang w:eastAsia="cs-CZ"/>
              </w:rPr>
              <w:t>%</w:t>
            </w:r>
          </w:p>
        </w:tc>
      </w:tr>
    </w:tbl>
    <w:p w:rsidR="00ED115D" w:rsidRDefault="00ED115D" w:rsidP="00740020"/>
    <w:p w:rsidR="00740020" w:rsidRDefault="00740020" w:rsidP="00740020">
      <w:r>
        <w:t xml:space="preserve">Z analýzy relativních četností polarit vybraných ukazatelů plyne, že u ukazatele primární EBITDA jako základního ukazatele provozní výkonnosti docházelo v průběhu tří let před vyhlášením moratoria k zásadnímu přesunu v polaritě tohoto ukazatele směrem k záporným hodnotám. Zatímco tři roky před vyhlášením moratoria měl tento ukazatel zápornou hodnotu u 42,5 % podniků, rok před moratoriem to bylo již 87 %. Tedy </w:t>
      </w:r>
      <w:r w:rsidRPr="00C45CE7">
        <w:rPr>
          <w:b/>
        </w:rPr>
        <w:t>v období před moratoriem docházelo k zásadnímu zhoršování primární provozní výkonnosti</w:t>
      </w:r>
      <w:r>
        <w:t xml:space="preserve">. Dále je patrné, že cca </w:t>
      </w:r>
      <w:r w:rsidRPr="00C45CE7">
        <w:rPr>
          <w:b/>
        </w:rPr>
        <w:t>90</w:t>
      </w:r>
      <w:r>
        <w:rPr>
          <w:b/>
        </w:rPr>
        <w:t> </w:t>
      </w:r>
      <w:r w:rsidRPr="00C45CE7">
        <w:rPr>
          <w:b/>
        </w:rPr>
        <w:t>% podniků bylo stiženo deficitem nutné hotovosti</w:t>
      </w:r>
      <w:r>
        <w:t>. U primárních NS PK sice dochází rovněž ke zhoršování situace, avšak ne tak markantně jako u ukazatele primární EBITDA. U vlastního kapitálu převažují ve všech letech podniky s kladným vlastním kapitálem.  V období dvou a tří let před moratoriem mělo záporný vlastní kapitál jen cca 23 % podniků, rok před moratoriem však došlo ke zdvojnásobení a záporný vlastní kapitál mělo cca 48 % podniků.</w:t>
      </w:r>
    </w:p>
    <w:p w:rsidR="00B535EE" w:rsidRDefault="00B535EE" w:rsidP="00740020"/>
    <w:p w:rsidR="00740020" w:rsidRDefault="00740020" w:rsidP="00B535EE">
      <w:pPr>
        <w:pStyle w:val="Nadpis3"/>
        <w:numPr>
          <w:ilvl w:val="2"/>
          <w:numId w:val="15"/>
        </w:numPr>
      </w:pPr>
      <w:bookmarkStart w:id="33" w:name="_Toc31054452"/>
      <w:r>
        <w:t>Syntetické ukazatele</w:t>
      </w:r>
      <w:bookmarkEnd w:id="33"/>
    </w:p>
    <w:p w:rsidR="00740020" w:rsidRPr="004F652E" w:rsidRDefault="00740020" w:rsidP="00B535EE">
      <w:pPr>
        <w:rPr>
          <w:highlight w:val="yellow"/>
        </w:rPr>
      </w:pPr>
      <w:bookmarkStart w:id="34" w:name="_Toc506149975"/>
      <w:r w:rsidRPr="004F652E">
        <w:rPr>
          <w:highlight w:val="yellow"/>
        </w:rPr>
        <w:t>Specifické postavení při posuzování finanční situace podniků mají syntetické ukazatele na bázi bankrotních a bonitních modelů, které do jednoho čísla shrnují různé aspekty finančního zdraví podniku. Tabulky dokládají relativní výskyt podniků v jednotlivých pásmech pro Kralickův Rychlý test, Altmanovo Z-skóre a index IN05.</w:t>
      </w:r>
    </w:p>
    <w:p w:rsidR="00B535EE" w:rsidRPr="004F652E" w:rsidRDefault="00B535EE" w:rsidP="00B535EE">
      <w:pPr>
        <w:rPr>
          <w:highlight w:val="yellow"/>
        </w:rPr>
      </w:pPr>
    </w:p>
    <w:p w:rsidR="00740020" w:rsidRPr="004F652E" w:rsidRDefault="00740020" w:rsidP="00740020">
      <w:pPr>
        <w:pStyle w:val="Titulek"/>
        <w:rPr>
          <w:highlight w:val="yellow"/>
        </w:rPr>
      </w:pPr>
      <w:bookmarkStart w:id="35" w:name="_Toc31054787"/>
      <w:r w:rsidRPr="004F652E">
        <w:rPr>
          <w:highlight w:val="yellow"/>
        </w:rPr>
        <w:t xml:space="preserve">Tabulka </w:t>
      </w:r>
      <w:r w:rsidR="00163A91" w:rsidRPr="004F652E">
        <w:rPr>
          <w:noProof/>
          <w:highlight w:val="yellow"/>
        </w:rPr>
        <w:fldChar w:fldCharType="begin"/>
      </w:r>
      <w:r w:rsidRPr="004F652E">
        <w:rPr>
          <w:noProof/>
          <w:highlight w:val="yellow"/>
        </w:rPr>
        <w:instrText xml:space="preserve"> SEQ Tabulka \* ARABIC </w:instrText>
      </w:r>
      <w:r w:rsidR="00163A91" w:rsidRPr="004F652E">
        <w:rPr>
          <w:noProof/>
          <w:highlight w:val="yellow"/>
        </w:rPr>
        <w:fldChar w:fldCharType="separate"/>
      </w:r>
      <w:r w:rsidR="007C1EE6" w:rsidRPr="004F652E">
        <w:rPr>
          <w:noProof/>
          <w:highlight w:val="yellow"/>
        </w:rPr>
        <w:t>11</w:t>
      </w:r>
      <w:r w:rsidR="00163A91" w:rsidRPr="004F652E">
        <w:rPr>
          <w:noProof/>
          <w:highlight w:val="yellow"/>
        </w:rPr>
        <w:fldChar w:fldCharType="end"/>
      </w:r>
      <w:r w:rsidRPr="004F652E">
        <w:rPr>
          <w:highlight w:val="yellow"/>
        </w:rPr>
        <w:t xml:space="preserve"> – Četnosti kategorií Kralickova Rychlého testu</w:t>
      </w:r>
      <w:bookmarkEnd w:id="34"/>
      <w:bookmarkEnd w:id="35"/>
    </w:p>
    <w:tbl>
      <w:tblPr>
        <w:tblW w:w="8422" w:type="dxa"/>
        <w:tblInd w:w="-5" w:type="dxa"/>
        <w:tblCellMar>
          <w:left w:w="70" w:type="dxa"/>
          <w:right w:w="70" w:type="dxa"/>
        </w:tblCellMar>
        <w:tblLook w:val="04A0"/>
      </w:tblPr>
      <w:tblGrid>
        <w:gridCol w:w="641"/>
        <w:gridCol w:w="2071"/>
        <w:gridCol w:w="2028"/>
        <w:gridCol w:w="1701"/>
        <w:gridCol w:w="1981"/>
      </w:tblGrid>
      <w:tr w:rsidR="00740020" w:rsidRPr="004F652E" w:rsidTr="00740020">
        <w:trPr>
          <w:trHeight w:val="276"/>
        </w:trPr>
        <w:tc>
          <w:tcPr>
            <w:tcW w:w="2712" w:type="dxa"/>
            <w:gridSpan w:val="2"/>
            <w:tcBorders>
              <w:top w:val="single" w:sz="4" w:space="0" w:color="auto"/>
              <w:left w:val="single" w:sz="4" w:space="0" w:color="auto"/>
              <w:bottom w:val="single" w:sz="4" w:space="0" w:color="152935"/>
              <w:right w:val="nil"/>
            </w:tcBorders>
            <w:shd w:val="clear" w:color="auto" w:fill="auto"/>
            <w:vAlign w:val="bottom"/>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p>
        </w:tc>
        <w:tc>
          <w:tcPr>
            <w:tcW w:w="2028" w:type="dxa"/>
            <w:tcBorders>
              <w:top w:val="single" w:sz="4" w:space="0" w:color="auto"/>
              <w:left w:val="single" w:sz="4" w:space="0" w:color="auto"/>
              <w:bottom w:val="single" w:sz="4" w:space="0" w:color="152935"/>
              <w:right w:val="single" w:sz="4" w:space="0" w:color="E0E0E0"/>
            </w:tcBorders>
            <w:shd w:val="clear" w:color="auto" w:fill="auto"/>
            <w:vAlign w:val="center"/>
            <w:hideMark/>
          </w:tcPr>
          <w:p w:rsidR="00740020" w:rsidRPr="004F652E" w:rsidRDefault="00740020" w:rsidP="00740020">
            <w:pPr>
              <w:spacing w:after="0" w:line="240" w:lineRule="auto"/>
              <w:jc w:val="center"/>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Absolutní četnost</w:t>
            </w:r>
          </w:p>
        </w:tc>
        <w:tc>
          <w:tcPr>
            <w:tcW w:w="1701" w:type="dxa"/>
            <w:tcBorders>
              <w:top w:val="single" w:sz="4" w:space="0" w:color="auto"/>
              <w:left w:val="nil"/>
              <w:bottom w:val="single" w:sz="4" w:space="0" w:color="152935"/>
              <w:right w:val="single" w:sz="4" w:space="0" w:color="E0E0E0"/>
            </w:tcBorders>
            <w:shd w:val="clear" w:color="auto" w:fill="auto"/>
            <w:vAlign w:val="center"/>
            <w:hideMark/>
          </w:tcPr>
          <w:p w:rsidR="00740020" w:rsidRPr="004F652E" w:rsidRDefault="00740020" w:rsidP="00740020">
            <w:pPr>
              <w:spacing w:after="0" w:line="240" w:lineRule="auto"/>
              <w:jc w:val="center"/>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Relativní četnost</w:t>
            </w:r>
          </w:p>
        </w:tc>
        <w:tc>
          <w:tcPr>
            <w:tcW w:w="1981" w:type="dxa"/>
            <w:tcBorders>
              <w:top w:val="single" w:sz="4" w:space="0" w:color="auto"/>
              <w:left w:val="nil"/>
              <w:bottom w:val="single" w:sz="4" w:space="0" w:color="152935"/>
              <w:right w:val="single" w:sz="4" w:space="0" w:color="auto"/>
            </w:tcBorders>
            <w:shd w:val="clear" w:color="auto" w:fill="auto"/>
            <w:vAlign w:val="center"/>
            <w:hideMark/>
          </w:tcPr>
          <w:p w:rsidR="00740020" w:rsidRPr="004F652E" w:rsidRDefault="00740020" w:rsidP="00740020">
            <w:pPr>
              <w:spacing w:after="0" w:line="240" w:lineRule="auto"/>
              <w:jc w:val="center"/>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Kumulativní relativní četnost</w:t>
            </w:r>
          </w:p>
        </w:tc>
      </w:tr>
      <w:tr w:rsidR="00740020" w:rsidRPr="004F652E" w:rsidTr="00740020">
        <w:trPr>
          <w:trHeight w:val="276"/>
        </w:trPr>
        <w:tc>
          <w:tcPr>
            <w:tcW w:w="641" w:type="dxa"/>
            <w:vMerge w:val="restart"/>
            <w:tcBorders>
              <w:top w:val="nil"/>
              <w:left w:val="single" w:sz="4" w:space="0" w:color="auto"/>
              <w:bottom w:val="single" w:sz="4" w:space="0" w:color="000000"/>
              <w:right w:val="nil"/>
            </w:tcBorders>
            <w:shd w:val="clear" w:color="000000" w:fill="E0E0E0"/>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p>
        </w:tc>
        <w:tc>
          <w:tcPr>
            <w:tcW w:w="2071" w:type="dxa"/>
            <w:tcBorders>
              <w:top w:val="nil"/>
              <w:left w:val="nil"/>
              <w:bottom w:val="single" w:sz="4" w:space="0" w:color="AEAEAE"/>
              <w:right w:val="nil"/>
            </w:tcBorders>
            <w:shd w:val="clear" w:color="000000" w:fill="E0E0E0"/>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2,00 - 3,00 - Šedá zóna</w:t>
            </w:r>
          </w:p>
        </w:tc>
        <w:tc>
          <w:tcPr>
            <w:tcW w:w="2028" w:type="dxa"/>
            <w:tcBorders>
              <w:top w:val="nil"/>
              <w:left w:val="single" w:sz="4" w:space="0" w:color="auto"/>
              <w:bottom w:val="single" w:sz="4" w:space="0" w:color="AEAEAE"/>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3</w:t>
            </w:r>
          </w:p>
        </w:tc>
        <w:tc>
          <w:tcPr>
            <w:tcW w:w="1701" w:type="dxa"/>
            <w:tcBorders>
              <w:top w:val="nil"/>
              <w:left w:val="nil"/>
              <w:bottom w:val="single" w:sz="4" w:space="0" w:color="AEAEAE"/>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3,1 %</w:t>
            </w:r>
          </w:p>
        </w:tc>
        <w:tc>
          <w:tcPr>
            <w:tcW w:w="1981" w:type="dxa"/>
            <w:tcBorders>
              <w:top w:val="nil"/>
              <w:left w:val="nil"/>
              <w:bottom w:val="single" w:sz="4" w:space="0" w:color="AEAEAE"/>
              <w:right w:val="single" w:sz="4" w:space="0" w:color="auto"/>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3,1 %</w:t>
            </w:r>
          </w:p>
        </w:tc>
      </w:tr>
      <w:tr w:rsidR="00740020" w:rsidRPr="004F652E" w:rsidTr="00740020">
        <w:trPr>
          <w:trHeight w:val="276"/>
        </w:trPr>
        <w:tc>
          <w:tcPr>
            <w:tcW w:w="641" w:type="dxa"/>
            <w:vMerge/>
            <w:tcBorders>
              <w:top w:val="nil"/>
              <w:left w:val="single" w:sz="4" w:space="0" w:color="auto"/>
              <w:bottom w:val="single" w:sz="4" w:space="0" w:color="000000"/>
              <w:right w:val="nil"/>
            </w:tcBorders>
            <w:vAlign w:val="center"/>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p>
        </w:tc>
        <w:tc>
          <w:tcPr>
            <w:tcW w:w="2071" w:type="dxa"/>
            <w:tcBorders>
              <w:top w:val="nil"/>
              <w:left w:val="nil"/>
              <w:bottom w:val="single" w:sz="4" w:space="0" w:color="AEAEAE"/>
              <w:right w:val="nil"/>
            </w:tcBorders>
            <w:shd w:val="clear" w:color="000000" w:fill="E0E0E0"/>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3,01+ - Bankrotní podnik</w:t>
            </w:r>
          </w:p>
        </w:tc>
        <w:tc>
          <w:tcPr>
            <w:tcW w:w="2028" w:type="dxa"/>
            <w:tcBorders>
              <w:top w:val="nil"/>
              <w:left w:val="single" w:sz="4" w:space="0" w:color="auto"/>
              <w:bottom w:val="single" w:sz="4" w:space="0" w:color="AEAEAE"/>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95</w:t>
            </w:r>
          </w:p>
        </w:tc>
        <w:tc>
          <w:tcPr>
            <w:tcW w:w="1701" w:type="dxa"/>
            <w:tcBorders>
              <w:top w:val="nil"/>
              <w:left w:val="nil"/>
              <w:bottom w:val="single" w:sz="4" w:space="0" w:color="AEAEAE"/>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b/>
                <w:color w:val="010205"/>
                <w:sz w:val="18"/>
                <w:szCs w:val="18"/>
                <w:highlight w:val="yellow"/>
                <w:lang w:eastAsia="cs-CZ"/>
              </w:rPr>
            </w:pPr>
            <w:r w:rsidRPr="004F652E">
              <w:rPr>
                <w:rFonts w:ascii="Arial" w:eastAsia="Times New Roman" w:hAnsi="Arial" w:cs="Arial"/>
                <w:b/>
                <w:color w:val="010205"/>
                <w:sz w:val="18"/>
                <w:szCs w:val="18"/>
                <w:highlight w:val="yellow"/>
                <w:lang w:eastAsia="cs-CZ"/>
              </w:rPr>
              <w:t>96,9 %</w:t>
            </w:r>
          </w:p>
        </w:tc>
        <w:tc>
          <w:tcPr>
            <w:tcW w:w="1981" w:type="dxa"/>
            <w:tcBorders>
              <w:top w:val="nil"/>
              <w:left w:val="nil"/>
              <w:bottom w:val="single" w:sz="4" w:space="0" w:color="AEAEAE"/>
              <w:right w:val="single" w:sz="4" w:space="0" w:color="auto"/>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100,0 %</w:t>
            </w:r>
          </w:p>
        </w:tc>
      </w:tr>
      <w:tr w:rsidR="00740020" w:rsidRPr="004F652E" w:rsidTr="00740020">
        <w:trPr>
          <w:trHeight w:val="204"/>
        </w:trPr>
        <w:tc>
          <w:tcPr>
            <w:tcW w:w="641" w:type="dxa"/>
            <w:vMerge/>
            <w:tcBorders>
              <w:top w:val="nil"/>
              <w:left w:val="single" w:sz="4" w:space="0" w:color="auto"/>
              <w:bottom w:val="single" w:sz="4" w:space="0" w:color="auto"/>
              <w:right w:val="nil"/>
            </w:tcBorders>
            <w:vAlign w:val="center"/>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p>
        </w:tc>
        <w:tc>
          <w:tcPr>
            <w:tcW w:w="2071" w:type="dxa"/>
            <w:tcBorders>
              <w:top w:val="nil"/>
              <w:left w:val="nil"/>
              <w:bottom w:val="single" w:sz="4" w:space="0" w:color="auto"/>
              <w:right w:val="nil"/>
            </w:tcBorders>
            <w:shd w:val="clear" w:color="000000" w:fill="E0E0E0"/>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Celkem</w:t>
            </w:r>
          </w:p>
        </w:tc>
        <w:tc>
          <w:tcPr>
            <w:tcW w:w="2028" w:type="dxa"/>
            <w:tcBorders>
              <w:top w:val="nil"/>
              <w:left w:val="single" w:sz="4" w:space="0" w:color="auto"/>
              <w:bottom w:val="single" w:sz="4" w:space="0" w:color="auto"/>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98</w:t>
            </w:r>
          </w:p>
        </w:tc>
        <w:tc>
          <w:tcPr>
            <w:tcW w:w="1701" w:type="dxa"/>
            <w:tcBorders>
              <w:top w:val="nil"/>
              <w:left w:val="nil"/>
              <w:bottom w:val="single" w:sz="4" w:space="0" w:color="auto"/>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100,0 %</w:t>
            </w:r>
          </w:p>
        </w:tc>
        <w:tc>
          <w:tcPr>
            <w:tcW w:w="1981" w:type="dxa"/>
            <w:tcBorders>
              <w:top w:val="nil"/>
              <w:left w:val="nil"/>
              <w:bottom w:val="single" w:sz="4" w:space="0" w:color="auto"/>
              <w:right w:val="single" w:sz="4" w:space="0" w:color="auto"/>
            </w:tcBorders>
            <w:shd w:val="clear" w:color="auto" w:fill="auto"/>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 </w:t>
            </w:r>
          </w:p>
        </w:tc>
      </w:tr>
    </w:tbl>
    <w:p w:rsidR="00740020" w:rsidRPr="004F652E" w:rsidRDefault="00740020" w:rsidP="00740020">
      <w:pPr>
        <w:pStyle w:val="Bezmezer"/>
        <w:rPr>
          <w:highlight w:val="yellow"/>
        </w:rPr>
      </w:pPr>
    </w:p>
    <w:p w:rsidR="00B535EE" w:rsidRPr="004F652E" w:rsidRDefault="00B535EE" w:rsidP="00740020">
      <w:pPr>
        <w:pStyle w:val="Bezmezer"/>
        <w:rPr>
          <w:highlight w:val="yellow"/>
        </w:rPr>
      </w:pPr>
    </w:p>
    <w:p w:rsidR="00B535EE" w:rsidRPr="004F652E" w:rsidRDefault="00B535EE" w:rsidP="00740020">
      <w:pPr>
        <w:pStyle w:val="Bezmezer"/>
        <w:rPr>
          <w:highlight w:val="yellow"/>
        </w:rPr>
      </w:pPr>
    </w:p>
    <w:p w:rsidR="00B535EE" w:rsidRPr="004F652E" w:rsidRDefault="00B535EE" w:rsidP="00740020">
      <w:pPr>
        <w:pStyle w:val="Bezmezer"/>
        <w:rPr>
          <w:highlight w:val="yellow"/>
        </w:rPr>
      </w:pPr>
    </w:p>
    <w:p w:rsidR="00B535EE" w:rsidRPr="004F652E" w:rsidRDefault="00B535EE" w:rsidP="00740020">
      <w:pPr>
        <w:pStyle w:val="Bezmezer"/>
        <w:rPr>
          <w:highlight w:val="yellow"/>
        </w:rPr>
      </w:pPr>
    </w:p>
    <w:p w:rsidR="00B535EE" w:rsidRPr="004F652E" w:rsidRDefault="00B535EE" w:rsidP="00740020">
      <w:pPr>
        <w:pStyle w:val="Bezmezer"/>
        <w:rPr>
          <w:highlight w:val="yellow"/>
        </w:rPr>
      </w:pPr>
    </w:p>
    <w:p w:rsidR="00B535EE" w:rsidRPr="004F652E" w:rsidRDefault="00B535EE" w:rsidP="00740020">
      <w:pPr>
        <w:pStyle w:val="Bezmezer"/>
        <w:rPr>
          <w:highlight w:val="yellow"/>
        </w:rPr>
      </w:pPr>
    </w:p>
    <w:p w:rsidR="00740020" w:rsidRPr="004F652E" w:rsidRDefault="00740020" w:rsidP="00740020">
      <w:pPr>
        <w:pStyle w:val="Titulek"/>
        <w:rPr>
          <w:highlight w:val="yellow"/>
        </w:rPr>
      </w:pPr>
      <w:bookmarkStart w:id="36" w:name="_Toc506149976"/>
      <w:bookmarkStart w:id="37" w:name="_Toc31054788"/>
      <w:r w:rsidRPr="004F652E">
        <w:rPr>
          <w:highlight w:val="yellow"/>
        </w:rPr>
        <w:lastRenderedPageBreak/>
        <w:t xml:space="preserve">Tabulka </w:t>
      </w:r>
      <w:r w:rsidR="00163A91" w:rsidRPr="004F652E">
        <w:rPr>
          <w:noProof/>
          <w:highlight w:val="yellow"/>
        </w:rPr>
        <w:fldChar w:fldCharType="begin"/>
      </w:r>
      <w:r w:rsidRPr="004F652E">
        <w:rPr>
          <w:noProof/>
          <w:highlight w:val="yellow"/>
        </w:rPr>
        <w:instrText xml:space="preserve"> SEQ Tabulka \* ARABIC </w:instrText>
      </w:r>
      <w:r w:rsidR="00163A91" w:rsidRPr="004F652E">
        <w:rPr>
          <w:noProof/>
          <w:highlight w:val="yellow"/>
        </w:rPr>
        <w:fldChar w:fldCharType="separate"/>
      </w:r>
      <w:r w:rsidR="007C1EE6" w:rsidRPr="004F652E">
        <w:rPr>
          <w:noProof/>
          <w:highlight w:val="yellow"/>
        </w:rPr>
        <w:t>12</w:t>
      </w:r>
      <w:r w:rsidR="00163A91" w:rsidRPr="004F652E">
        <w:rPr>
          <w:noProof/>
          <w:highlight w:val="yellow"/>
        </w:rPr>
        <w:fldChar w:fldCharType="end"/>
      </w:r>
      <w:r w:rsidRPr="004F652E">
        <w:rPr>
          <w:highlight w:val="yellow"/>
        </w:rPr>
        <w:t xml:space="preserve"> – Četnosti kategorií Altmanova Z-skóre</w:t>
      </w:r>
      <w:bookmarkEnd w:id="36"/>
      <w:bookmarkEnd w:id="37"/>
    </w:p>
    <w:tbl>
      <w:tblPr>
        <w:tblW w:w="8370" w:type="dxa"/>
        <w:tblInd w:w="-5" w:type="dxa"/>
        <w:tblCellMar>
          <w:left w:w="70" w:type="dxa"/>
          <w:right w:w="70" w:type="dxa"/>
        </w:tblCellMar>
        <w:tblLook w:val="04A0"/>
      </w:tblPr>
      <w:tblGrid>
        <w:gridCol w:w="656"/>
        <w:gridCol w:w="3282"/>
        <w:gridCol w:w="1360"/>
        <w:gridCol w:w="1473"/>
        <w:gridCol w:w="1599"/>
      </w:tblGrid>
      <w:tr w:rsidR="00740020" w:rsidRPr="004F652E" w:rsidTr="00740020">
        <w:trPr>
          <w:trHeight w:val="300"/>
        </w:trPr>
        <w:tc>
          <w:tcPr>
            <w:tcW w:w="3938" w:type="dxa"/>
            <w:gridSpan w:val="2"/>
            <w:tcBorders>
              <w:top w:val="single" w:sz="4" w:space="0" w:color="auto"/>
              <w:left w:val="single" w:sz="4" w:space="0" w:color="auto"/>
              <w:bottom w:val="single" w:sz="4" w:space="0" w:color="152935"/>
              <w:right w:val="nil"/>
            </w:tcBorders>
            <w:shd w:val="clear" w:color="auto" w:fill="auto"/>
            <w:vAlign w:val="bottom"/>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 </w:t>
            </w:r>
          </w:p>
        </w:tc>
        <w:tc>
          <w:tcPr>
            <w:tcW w:w="1360" w:type="dxa"/>
            <w:tcBorders>
              <w:top w:val="single" w:sz="4" w:space="0" w:color="auto"/>
              <w:left w:val="single" w:sz="4" w:space="0" w:color="auto"/>
              <w:bottom w:val="single" w:sz="4" w:space="0" w:color="152935"/>
              <w:right w:val="single" w:sz="4" w:space="0" w:color="E0E0E0"/>
            </w:tcBorders>
            <w:shd w:val="clear" w:color="auto" w:fill="auto"/>
            <w:vAlign w:val="center"/>
            <w:hideMark/>
          </w:tcPr>
          <w:p w:rsidR="00740020" w:rsidRPr="004F652E" w:rsidRDefault="00740020" w:rsidP="00740020">
            <w:pPr>
              <w:spacing w:after="0" w:line="240" w:lineRule="auto"/>
              <w:jc w:val="center"/>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Absolutní četnost</w:t>
            </w:r>
          </w:p>
        </w:tc>
        <w:tc>
          <w:tcPr>
            <w:tcW w:w="1473" w:type="dxa"/>
            <w:tcBorders>
              <w:top w:val="single" w:sz="4" w:space="0" w:color="auto"/>
              <w:left w:val="nil"/>
              <w:bottom w:val="single" w:sz="4" w:space="0" w:color="152935"/>
              <w:right w:val="single" w:sz="4" w:space="0" w:color="E0E0E0"/>
            </w:tcBorders>
            <w:shd w:val="clear" w:color="auto" w:fill="auto"/>
            <w:vAlign w:val="center"/>
            <w:hideMark/>
          </w:tcPr>
          <w:p w:rsidR="00740020" w:rsidRPr="004F652E" w:rsidRDefault="00740020" w:rsidP="00740020">
            <w:pPr>
              <w:spacing w:after="0" w:line="240" w:lineRule="auto"/>
              <w:jc w:val="center"/>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Relativní četnost</w:t>
            </w:r>
          </w:p>
        </w:tc>
        <w:tc>
          <w:tcPr>
            <w:tcW w:w="1599" w:type="dxa"/>
            <w:tcBorders>
              <w:top w:val="single" w:sz="4" w:space="0" w:color="auto"/>
              <w:left w:val="nil"/>
              <w:bottom w:val="single" w:sz="4" w:space="0" w:color="152935"/>
              <w:right w:val="single" w:sz="4" w:space="0" w:color="auto"/>
            </w:tcBorders>
            <w:shd w:val="clear" w:color="auto" w:fill="auto"/>
            <w:vAlign w:val="center"/>
            <w:hideMark/>
          </w:tcPr>
          <w:p w:rsidR="00740020" w:rsidRPr="004F652E" w:rsidRDefault="00740020" w:rsidP="00740020">
            <w:pPr>
              <w:spacing w:after="0" w:line="240" w:lineRule="auto"/>
              <w:jc w:val="center"/>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Kumulativní relativní četnost</w:t>
            </w:r>
          </w:p>
        </w:tc>
      </w:tr>
      <w:tr w:rsidR="00740020" w:rsidRPr="004F652E" w:rsidTr="00740020">
        <w:trPr>
          <w:trHeight w:val="300"/>
        </w:trPr>
        <w:tc>
          <w:tcPr>
            <w:tcW w:w="656" w:type="dxa"/>
            <w:vMerge w:val="restart"/>
            <w:tcBorders>
              <w:top w:val="nil"/>
              <w:left w:val="single" w:sz="4" w:space="0" w:color="auto"/>
              <w:bottom w:val="single" w:sz="4" w:space="0" w:color="000000"/>
              <w:right w:val="nil"/>
            </w:tcBorders>
            <w:shd w:val="clear" w:color="000000" w:fill="E0E0E0"/>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p>
        </w:tc>
        <w:tc>
          <w:tcPr>
            <w:tcW w:w="3282" w:type="dxa"/>
            <w:tcBorders>
              <w:top w:val="nil"/>
              <w:left w:val="nil"/>
              <w:bottom w:val="single" w:sz="4" w:space="0" w:color="AEAEAE"/>
              <w:right w:val="nil"/>
            </w:tcBorders>
            <w:shd w:val="clear" w:color="000000" w:fill="E0E0E0"/>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2,900+ - Bonitní podnik</w:t>
            </w:r>
          </w:p>
        </w:tc>
        <w:tc>
          <w:tcPr>
            <w:tcW w:w="1360" w:type="dxa"/>
            <w:tcBorders>
              <w:top w:val="nil"/>
              <w:left w:val="single" w:sz="4" w:space="0" w:color="auto"/>
              <w:bottom w:val="single" w:sz="4" w:space="0" w:color="AEAEAE"/>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8</w:t>
            </w:r>
          </w:p>
        </w:tc>
        <w:tc>
          <w:tcPr>
            <w:tcW w:w="1473" w:type="dxa"/>
            <w:tcBorders>
              <w:top w:val="nil"/>
              <w:left w:val="nil"/>
              <w:bottom w:val="single" w:sz="4" w:space="0" w:color="AEAEAE"/>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8,2 %</w:t>
            </w:r>
          </w:p>
        </w:tc>
        <w:tc>
          <w:tcPr>
            <w:tcW w:w="1599" w:type="dxa"/>
            <w:tcBorders>
              <w:top w:val="nil"/>
              <w:left w:val="nil"/>
              <w:bottom w:val="single" w:sz="4" w:space="0" w:color="AEAEAE"/>
              <w:right w:val="single" w:sz="4" w:space="0" w:color="auto"/>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8,2 %</w:t>
            </w:r>
          </w:p>
        </w:tc>
      </w:tr>
      <w:tr w:rsidR="00740020" w:rsidRPr="004F652E" w:rsidTr="00740020">
        <w:trPr>
          <w:trHeight w:val="300"/>
        </w:trPr>
        <w:tc>
          <w:tcPr>
            <w:tcW w:w="656" w:type="dxa"/>
            <w:vMerge/>
            <w:tcBorders>
              <w:top w:val="nil"/>
              <w:left w:val="single" w:sz="4" w:space="0" w:color="auto"/>
              <w:bottom w:val="single" w:sz="4" w:space="0" w:color="000000"/>
              <w:right w:val="nil"/>
            </w:tcBorders>
            <w:vAlign w:val="center"/>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p>
        </w:tc>
        <w:tc>
          <w:tcPr>
            <w:tcW w:w="3282" w:type="dxa"/>
            <w:tcBorders>
              <w:top w:val="nil"/>
              <w:left w:val="nil"/>
              <w:bottom w:val="single" w:sz="4" w:space="0" w:color="AEAEAE"/>
              <w:right w:val="nil"/>
            </w:tcBorders>
            <w:shd w:val="clear" w:color="000000" w:fill="E0E0E0"/>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1,231 - 2,899 - Šedá zóna</w:t>
            </w:r>
          </w:p>
        </w:tc>
        <w:tc>
          <w:tcPr>
            <w:tcW w:w="1360" w:type="dxa"/>
            <w:tcBorders>
              <w:top w:val="nil"/>
              <w:left w:val="single" w:sz="4" w:space="0" w:color="auto"/>
              <w:bottom w:val="single" w:sz="4" w:space="0" w:color="AEAEAE"/>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28</w:t>
            </w:r>
          </w:p>
        </w:tc>
        <w:tc>
          <w:tcPr>
            <w:tcW w:w="1473" w:type="dxa"/>
            <w:tcBorders>
              <w:top w:val="nil"/>
              <w:left w:val="nil"/>
              <w:bottom w:val="single" w:sz="4" w:space="0" w:color="AEAEAE"/>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28,6 %</w:t>
            </w:r>
          </w:p>
        </w:tc>
        <w:tc>
          <w:tcPr>
            <w:tcW w:w="1599" w:type="dxa"/>
            <w:tcBorders>
              <w:top w:val="nil"/>
              <w:left w:val="nil"/>
              <w:bottom w:val="single" w:sz="4" w:space="0" w:color="AEAEAE"/>
              <w:right w:val="single" w:sz="4" w:space="0" w:color="auto"/>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36,7 %</w:t>
            </w:r>
          </w:p>
        </w:tc>
      </w:tr>
      <w:tr w:rsidR="00740020" w:rsidRPr="004F652E" w:rsidTr="00740020">
        <w:trPr>
          <w:trHeight w:val="300"/>
        </w:trPr>
        <w:tc>
          <w:tcPr>
            <w:tcW w:w="656" w:type="dxa"/>
            <w:vMerge/>
            <w:tcBorders>
              <w:top w:val="nil"/>
              <w:left w:val="single" w:sz="4" w:space="0" w:color="auto"/>
              <w:bottom w:val="single" w:sz="4" w:space="0" w:color="000000"/>
              <w:right w:val="nil"/>
            </w:tcBorders>
            <w:vAlign w:val="center"/>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p>
        </w:tc>
        <w:tc>
          <w:tcPr>
            <w:tcW w:w="3282" w:type="dxa"/>
            <w:tcBorders>
              <w:top w:val="nil"/>
              <w:left w:val="nil"/>
              <w:bottom w:val="single" w:sz="4" w:space="0" w:color="AEAEAE"/>
              <w:right w:val="nil"/>
            </w:tcBorders>
            <w:shd w:val="clear" w:color="000000" w:fill="E0E0E0"/>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&lt;= 1,230 - Bankrotní podnik</w:t>
            </w:r>
          </w:p>
        </w:tc>
        <w:tc>
          <w:tcPr>
            <w:tcW w:w="1360" w:type="dxa"/>
            <w:tcBorders>
              <w:top w:val="nil"/>
              <w:left w:val="single" w:sz="4" w:space="0" w:color="auto"/>
              <w:bottom w:val="single" w:sz="4" w:space="0" w:color="AEAEAE"/>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62</w:t>
            </w:r>
          </w:p>
        </w:tc>
        <w:tc>
          <w:tcPr>
            <w:tcW w:w="1473" w:type="dxa"/>
            <w:tcBorders>
              <w:top w:val="nil"/>
              <w:left w:val="nil"/>
              <w:bottom w:val="single" w:sz="4" w:space="0" w:color="AEAEAE"/>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b/>
                <w:color w:val="010205"/>
                <w:sz w:val="18"/>
                <w:szCs w:val="18"/>
                <w:highlight w:val="yellow"/>
                <w:lang w:eastAsia="cs-CZ"/>
              </w:rPr>
            </w:pPr>
            <w:r w:rsidRPr="004F652E">
              <w:rPr>
                <w:rFonts w:ascii="Arial" w:eastAsia="Times New Roman" w:hAnsi="Arial" w:cs="Arial"/>
                <w:b/>
                <w:color w:val="010205"/>
                <w:sz w:val="18"/>
                <w:szCs w:val="18"/>
                <w:highlight w:val="yellow"/>
                <w:lang w:eastAsia="cs-CZ"/>
              </w:rPr>
              <w:t>63,3 %</w:t>
            </w:r>
          </w:p>
        </w:tc>
        <w:tc>
          <w:tcPr>
            <w:tcW w:w="1599" w:type="dxa"/>
            <w:tcBorders>
              <w:top w:val="nil"/>
              <w:left w:val="nil"/>
              <w:bottom w:val="single" w:sz="4" w:space="0" w:color="AEAEAE"/>
              <w:right w:val="single" w:sz="4" w:space="0" w:color="auto"/>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100,0 %</w:t>
            </w:r>
          </w:p>
        </w:tc>
      </w:tr>
      <w:tr w:rsidR="00740020" w:rsidRPr="004F652E" w:rsidTr="00740020">
        <w:trPr>
          <w:trHeight w:val="187"/>
        </w:trPr>
        <w:tc>
          <w:tcPr>
            <w:tcW w:w="656" w:type="dxa"/>
            <w:vMerge/>
            <w:tcBorders>
              <w:top w:val="nil"/>
              <w:left w:val="single" w:sz="4" w:space="0" w:color="auto"/>
              <w:bottom w:val="single" w:sz="4" w:space="0" w:color="000000"/>
              <w:right w:val="nil"/>
            </w:tcBorders>
            <w:vAlign w:val="center"/>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p>
        </w:tc>
        <w:tc>
          <w:tcPr>
            <w:tcW w:w="3282" w:type="dxa"/>
            <w:tcBorders>
              <w:top w:val="nil"/>
              <w:left w:val="nil"/>
              <w:bottom w:val="single" w:sz="4" w:space="0" w:color="auto"/>
              <w:right w:val="nil"/>
            </w:tcBorders>
            <w:shd w:val="clear" w:color="000000" w:fill="E0E0E0"/>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Celkem</w:t>
            </w:r>
          </w:p>
        </w:tc>
        <w:tc>
          <w:tcPr>
            <w:tcW w:w="1360" w:type="dxa"/>
            <w:tcBorders>
              <w:top w:val="nil"/>
              <w:left w:val="single" w:sz="4" w:space="0" w:color="auto"/>
              <w:bottom w:val="single" w:sz="4" w:space="0" w:color="auto"/>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98</w:t>
            </w:r>
          </w:p>
        </w:tc>
        <w:tc>
          <w:tcPr>
            <w:tcW w:w="1473" w:type="dxa"/>
            <w:tcBorders>
              <w:top w:val="nil"/>
              <w:left w:val="nil"/>
              <w:bottom w:val="single" w:sz="4" w:space="0" w:color="auto"/>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100,0 %</w:t>
            </w:r>
          </w:p>
        </w:tc>
        <w:tc>
          <w:tcPr>
            <w:tcW w:w="1599" w:type="dxa"/>
            <w:tcBorders>
              <w:top w:val="nil"/>
              <w:left w:val="nil"/>
              <w:bottom w:val="single" w:sz="4" w:space="0" w:color="auto"/>
              <w:right w:val="single" w:sz="4" w:space="0" w:color="auto"/>
            </w:tcBorders>
            <w:shd w:val="clear" w:color="auto" w:fill="auto"/>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 </w:t>
            </w:r>
          </w:p>
        </w:tc>
      </w:tr>
    </w:tbl>
    <w:p w:rsidR="00B535EE" w:rsidRPr="004F652E" w:rsidRDefault="00B535EE" w:rsidP="00740020">
      <w:pPr>
        <w:pStyle w:val="Titulek"/>
        <w:keepNext/>
        <w:rPr>
          <w:highlight w:val="yellow"/>
        </w:rPr>
      </w:pPr>
      <w:bookmarkStart w:id="38" w:name="_Toc506149977"/>
    </w:p>
    <w:p w:rsidR="00740020" w:rsidRPr="004F652E" w:rsidRDefault="00740020" w:rsidP="00740020">
      <w:pPr>
        <w:pStyle w:val="Titulek"/>
        <w:keepNext/>
        <w:rPr>
          <w:highlight w:val="yellow"/>
        </w:rPr>
      </w:pPr>
      <w:bookmarkStart w:id="39" w:name="_Toc31054789"/>
      <w:r w:rsidRPr="004F652E">
        <w:rPr>
          <w:highlight w:val="yellow"/>
        </w:rPr>
        <w:t xml:space="preserve">Tabulka </w:t>
      </w:r>
      <w:r w:rsidR="00163A91" w:rsidRPr="004F652E">
        <w:rPr>
          <w:noProof/>
          <w:highlight w:val="yellow"/>
        </w:rPr>
        <w:fldChar w:fldCharType="begin"/>
      </w:r>
      <w:r w:rsidRPr="004F652E">
        <w:rPr>
          <w:noProof/>
          <w:highlight w:val="yellow"/>
        </w:rPr>
        <w:instrText xml:space="preserve"> SEQ Tabulka \* ARABIC </w:instrText>
      </w:r>
      <w:r w:rsidR="00163A91" w:rsidRPr="004F652E">
        <w:rPr>
          <w:noProof/>
          <w:highlight w:val="yellow"/>
        </w:rPr>
        <w:fldChar w:fldCharType="separate"/>
      </w:r>
      <w:r w:rsidR="007C1EE6" w:rsidRPr="004F652E">
        <w:rPr>
          <w:noProof/>
          <w:highlight w:val="yellow"/>
        </w:rPr>
        <w:t>13</w:t>
      </w:r>
      <w:r w:rsidR="00163A91" w:rsidRPr="004F652E">
        <w:rPr>
          <w:noProof/>
          <w:highlight w:val="yellow"/>
        </w:rPr>
        <w:fldChar w:fldCharType="end"/>
      </w:r>
      <w:r w:rsidRPr="004F652E">
        <w:rPr>
          <w:highlight w:val="yellow"/>
        </w:rPr>
        <w:t xml:space="preserve"> – Četnosti kategorií indexu IN05</w:t>
      </w:r>
      <w:bookmarkEnd w:id="38"/>
      <w:bookmarkEnd w:id="39"/>
    </w:p>
    <w:tbl>
      <w:tblPr>
        <w:tblW w:w="8456" w:type="dxa"/>
        <w:tblInd w:w="-5" w:type="dxa"/>
        <w:tblCellMar>
          <w:left w:w="70" w:type="dxa"/>
          <w:right w:w="70" w:type="dxa"/>
        </w:tblCellMar>
        <w:tblLook w:val="04A0"/>
      </w:tblPr>
      <w:tblGrid>
        <w:gridCol w:w="633"/>
        <w:gridCol w:w="3231"/>
        <w:gridCol w:w="1491"/>
        <w:gridCol w:w="1493"/>
        <w:gridCol w:w="1608"/>
      </w:tblGrid>
      <w:tr w:rsidR="00740020" w:rsidRPr="004F652E" w:rsidTr="00740020">
        <w:trPr>
          <w:trHeight w:val="256"/>
        </w:trPr>
        <w:tc>
          <w:tcPr>
            <w:tcW w:w="3864" w:type="dxa"/>
            <w:gridSpan w:val="2"/>
            <w:tcBorders>
              <w:top w:val="single" w:sz="4" w:space="0" w:color="auto"/>
              <w:left w:val="single" w:sz="4" w:space="0" w:color="auto"/>
              <w:bottom w:val="single" w:sz="4" w:space="0" w:color="152935"/>
              <w:right w:val="nil"/>
            </w:tcBorders>
            <w:shd w:val="clear" w:color="auto" w:fill="auto"/>
            <w:vAlign w:val="bottom"/>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 </w:t>
            </w:r>
          </w:p>
        </w:tc>
        <w:tc>
          <w:tcPr>
            <w:tcW w:w="1491" w:type="dxa"/>
            <w:tcBorders>
              <w:top w:val="single" w:sz="4" w:space="0" w:color="auto"/>
              <w:left w:val="single" w:sz="4" w:space="0" w:color="auto"/>
              <w:bottom w:val="single" w:sz="4" w:space="0" w:color="152935"/>
              <w:right w:val="single" w:sz="4" w:space="0" w:color="E0E0E0"/>
            </w:tcBorders>
            <w:shd w:val="clear" w:color="auto" w:fill="auto"/>
            <w:vAlign w:val="center"/>
            <w:hideMark/>
          </w:tcPr>
          <w:p w:rsidR="00740020" w:rsidRPr="004F652E" w:rsidRDefault="00740020" w:rsidP="00740020">
            <w:pPr>
              <w:spacing w:after="0" w:line="240" w:lineRule="auto"/>
              <w:jc w:val="center"/>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Absolutní četnost</w:t>
            </w:r>
          </w:p>
        </w:tc>
        <w:tc>
          <w:tcPr>
            <w:tcW w:w="1493" w:type="dxa"/>
            <w:tcBorders>
              <w:top w:val="single" w:sz="4" w:space="0" w:color="auto"/>
              <w:left w:val="nil"/>
              <w:bottom w:val="single" w:sz="4" w:space="0" w:color="152935"/>
              <w:right w:val="single" w:sz="4" w:space="0" w:color="E0E0E0"/>
            </w:tcBorders>
            <w:shd w:val="clear" w:color="auto" w:fill="auto"/>
            <w:vAlign w:val="center"/>
            <w:hideMark/>
          </w:tcPr>
          <w:p w:rsidR="00740020" w:rsidRPr="004F652E" w:rsidRDefault="00740020" w:rsidP="00740020">
            <w:pPr>
              <w:spacing w:after="0" w:line="240" w:lineRule="auto"/>
              <w:jc w:val="center"/>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Relativní četnost</w:t>
            </w:r>
          </w:p>
        </w:tc>
        <w:tc>
          <w:tcPr>
            <w:tcW w:w="1608" w:type="dxa"/>
            <w:tcBorders>
              <w:top w:val="single" w:sz="4" w:space="0" w:color="auto"/>
              <w:left w:val="nil"/>
              <w:bottom w:val="single" w:sz="4" w:space="0" w:color="152935"/>
              <w:right w:val="single" w:sz="4" w:space="0" w:color="auto"/>
            </w:tcBorders>
            <w:shd w:val="clear" w:color="auto" w:fill="auto"/>
            <w:vAlign w:val="center"/>
            <w:hideMark/>
          </w:tcPr>
          <w:p w:rsidR="00740020" w:rsidRPr="004F652E" w:rsidRDefault="00740020" w:rsidP="00740020">
            <w:pPr>
              <w:spacing w:after="0" w:line="240" w:lineRule="auto"/>
              <w:jc w:val="center"/>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Kumulativní relativní četnost</w:t>
            </w:r>
          </w:p>
        </w:tc>
      </w:tr>
      <w:tr w:rsidR="00740020" w:rsidRPr="004F652E" w:rsidTr="00740020">
        <w:trPr>
          <w:trHeight w:val="256"/>
        </w:trPr>
        <w:tc>
          <w:tcPr>
            <w:tcW w:w="633" w:type="dxa"/>
            <w:vMerge w:val="restart"/>
            <w:tcBorders>
              <w:top w:val="nil"/>
              <w:left w:val="single" w:sz="4" w:space="0" w:color="auto"/>
              <w:bottom w:val="single" w:sz="4" w:space="0" w:color="000000"/>
              <w:right w:val="nil"/>
            </w:tcBorders>
            <w:shd w:val="clear" w:color="000000" w:fill="E0E0E0"/>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p>
        </w:tc>
        <w:tc>
          <w:tcPr>
            <w:tcW w:w="3231" w:type="dxa"/>
            <w:tcBorders>
              <w:top w:val="nil"/>
              <w:left w:val="nil"/>
              <w:bottom w:val="single" w:sz="4" w:space="0" w:color="AEAEAE"/>
              <w:right w:val="nil"/>
            </w:tcBorders>
            <w:shd w:val="clear" w:color="000000" w:fill="E0E0E0"/>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1,600+ - Bonitní podnik</w:t>
            </w:r>
          </w:p>
        </w:tc>
        <w:tc>
          <w:tcPr>
            <w:tcW w:w="1491" w:type="dxa"/>
            <w:tcBorders>
              <w:top w:val="nil"/>
              <w:left w:val="single" w:sz="4" w:space="0" w:color="auto"/>
              <w:bottom w:val="single" w:sz="4" w:space="0" w:color="AEAEAE"/>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1</w:t>
            </w:r>
          </w:p>
        </w:tc>
        <w:tc>
          <w:tcPr>
            <w:tcW w:w="1493" w:type="dxa"/>
            <w:tcBorders>
              <w:top w:val="nil"/>
              <w:left w:val="nil"/>
              <w:bottom w:val="single" w:sz="4" w:space="0" w:color="AEAEAE"/>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1,0 %</w:t>
            </w:r>
          </w:p>
        </w:tc>
        <w:tc>
          <w:tcPr>
            <w:tcW w:w="1608" w:type="dxa"/>
            <w:tcBorders>
              <w:top w:val="nil"/>
              <w:left w:val="nil"/>
              <w:bottom w:val="single" w:sz="4" w:space="0" w:color="AEAEAE"/>
              <w:right w:val="single" w:sz="4" w:space="0" w:color="auto"/>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1,0 %</w:t>
            </w:r>
          </w:p>
        </w:tc>
      </w:tr>
      <w:tr w:rsidR="00740020" w:rsidRPr="004F652E" w:rsidTr="00740020">
        <w:trPr>
          <w:trHeight w:val="256"/>
        </w:trPr>
        <w:tc>
          <w:tcPr>
            <w:tcW w:w="633" w:type="dxa"/>
            <w:vMerge/>
            <w:tcBorders>
              <w:top w:val="nil"/>
              <w:left w:val="single" w:sz="4" w:space="0" w:color="auto"/>
              <w:bottom w:val="single" w:sz="4" w:space="0" w:color="000000"/>
              <w:right w:val="nil"/>
            </w:tcBorders>
            <w:vAlign w:val="center"/>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p>
        </w:tc>
        <w:tc>
          <w:tcPr>
            <w:tcW w:w="3231" w:type="dxa"/>
            <w:tcBorders>
              <w:top w:val="nil"/>
              <w:left w:val="nil"/>
              <w:bottom w:val="single" w:sz="4" w:space="0" w:color="AEAEAE"/>
              <w:right w:val="nil"/>
            </w:tcBorders>
            <w:shd w:val="clear" w:color="000000" w:fill="E0E0E0"/>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,900 - 1,599 - Šedá zóna</w:t>
            </w:r>
          </w:p>
        </w:tc>
        <w:tc>
          <w:tcPr>
            <w:tcW w:w="1491" w:type="dxa"/>
            <w:tcBorders>
              <w:top w:val="nil"/>
              <w:left w:val="single" w:sz="4" w:space="0" w:color="auto"/>
              <w:bottom w:val="single" w:sz="4" w:space="0" w:color="AEAEAE"/>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14</w:t>
            </w:r>
          </w:p>
        </w:tc>
        <w:tc>
          <w:tcPr>
            <w:tcW w:w="1493" w:type="dxa"/>
            <w:tcBorders>
              <w:top w:val="nil"/>
              <w:left w:val="nil"/>
              <w:bottom w:val="single" w:sz="4" w:space="0" w:color="AEAEAE"/>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14,3 %</w:t>
            </w:r>
          </w:p>
        </w:tc>
        <w:tc>
          <w:tcPr>
            <w:tcW w:w="1608" w:type="dxa"/>
            <w:tcBorders>
              <w:top w:val="nil"/>
              <w:left w:val="nil"/>
              <w:bottom w:val="single" w:sz="4" w:space="0" w:color="AEAEAE"/>
              <w:right w:val="single" w:sz="4" w:space="0" w:color="auto"/>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15,3 %</w:t>
            </w:r>
          </w:p>
        </w:tc>
      </w:tr>
      <w:tr w:rsidR="00740020" w:rsidRPr="004F652E" w:rsidTr="00740020">
        <w:trPr>
          <w:trHeight w:val="256"/>
        </w:trPr>
        <w:tc>
          <w:tcPr>
            <w:tcW w:w="633" w:type="dxa"/>
            <w:vMerge/>
            <w:tcBorders>
              <w:top w:val="nil"/>
              <w:left w:val="single" w:sz="4" w:space="0" w:color="auto"/>
              <w:bottom w:val="single" w:sz="4" w:space="0" w:color="000000"/>
              <w:right w:val="nil"/>
            </w:tcBorders>
            <w:vAlign w:val="center"/>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p>
        </w:tc>
        <w:tc>
          <w:tcPr>
            <w:tcW w:w="3231" w:type="dxa"/>
            <w:tcBorders>
              <w:top w:val="nil"/>
              <w:left w:val="nil"/>
              <w:bottom w:val="single" w:sz="4" w:space="0" w:color="AEAEAE"/>
              <w:right w:val="nil"/>
            </w:tcBorders>
            <w:shd w:val="clear" w:color="000000" w:fill="E0E0E0"/>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proofErr w:type="gramStart"/>
            <w:r w:rsidRPr="004F652E">
              <w:rPr>
                <w:rFonts w:ascii="Arial" w:eastAsia="Times New Roman" w:hAnsi="Arial" w:cs="Arial"/>
                <w:color w:val="264A60"/>
                <w:sz w:val="18"/>
                <w:szCs w:val="18"/>
                <w:highlight w:val="yellow"/>
                <w:lang w:eastAsia="cs-CZ"/>
              </w:rPr>
              <w:t>&lt; ,900</w:t>
            </w:r>
            <w:proofErr w:type="gramEnd"/>
            <w:r w:rsidRPr="004F652E">
              <w:rPr>
                <w:rFonts w:ascii="Arial" w:eastAsia="Times New Roman" w:hAnsi="Arial" w:cs="Arial"/>
                <w:color w:val="264A60"/>
                <w:sz w:val="18"/>
                <w:szCs w:val="18"/>
                <w:highlight w:val="yellow"/>
                <w:lang w:eastAsia="cs-CZ"/>
              </w:rPr>
              <w:t xml:space="preserve"> - Bankrotní podnik</w:t>
            </w:r>
          </w:p>
        </w:tc>
        <w:tc>
          <w:tcPr>
            <w:tcW w:w="1491" w:type="dxa"/>
            <w:tcBorders>
              <w:top w:val="nil"/>
              <w:left w:val="single" w:sz="4" w:space="0" w:color="auto"/>
              <w:bottom w:val="single" w:sz="4" w:space="0" w:color="AEAEAE"/>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83</w:t>
            </w:r>
          </w:p>
        </w:tc>
        <w:tc>
          <w:tcPr>
            <w:tcW w:w="1493" w:type="dxa"/>
            <w:tcBorders>
              <w:top w:val="nil"/>
              <w:left w:val="nil"/>
              <w:bottom w:val="single" w:sz="4" w:space="0" w:color="AEAEAE"/>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b/>
                <w:color w:val="010205"/>
                <w:sz w:val="18"/>
                <w:szCs w:val="18"/>
                <w:highlight w:val="yellow"/>
                <w:lang w:eastAsia="cs-CZ"/>
              </w:rPr>
            </w:pPr>
            <w:r w:rsidRPr="004F652E">
              <w:rPr>
                <w:rFonts w:ascii="Arial" w:eastAsia="Times New Roman" w:hAnsi="Arial" w:cs="Arial"/>
                <w:b/>
                <w:color w:val="010205"/>
                <w:sz w:val="18"/>
                <w:szCs w:val="18"/>
                <w:highlight w:val="yellow"/>
                <w:lang w:eastAsia="cs-CZ"/>
              </w:rPr>
              <w:t>84,7 %</w:t>
            </w:r>
          </w:p>
        </w:tc>
        <w:tc>
          <w:tcPr>
            <w:tcW w:w="1608" w:type="dxa"/>
            <w:tcBorders>
              <w:top w:val="nil"/>
              <w:left w:val="nil"/>
              <w:bottom w:val="single" w:sz="4" w:space="0" w:color="AEAEAE"/>
              <w:right w:val="single" w:sz="4" w:space="0" w:color="auto"/>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100,0 %</w:t>
            </w:r>
          </w:p>
        </w:tc>
      </w:tr>
      <w:tr w:rsidR="00740020" w:rsidRPr="004F652E" w:rsidTr="00740020">
        <w:trPr>
          <w:trHeight w:val="159"/>
        </w:trPr>
        <w:tc>
          <w:tcPr>
            <w:tcW w:w="633" w:type="dxa"/>
            <w:vMerge/>
            <w:tcBorders>
              <w:top w:val="nil"/>
              <w:left w:val="single" w:sz="4" w:space="0" w:color="auto"/>
              <w:bottom w:val="single" w:sz="4" w:space="0" w:color="000000"/>
              <w:right w:val="nil"/>
            </w:tcBorders>
            <w:vAlign w:val="center"/>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p>
        </w:tc>
        <w:tc>
          <w:tcPr>
            <w:tcW w:w="3231" w:type="dxa"/>
            <w:tcBorders>
              <w:top w:val="nil"/>
              <w:left w:val="nil"/>
              <w:bottom w:val="single" w:sz="4" w:space="0" w:color="auto"/>
              <w:right w:val="nil"/>
            </w:tcBorders>
            <w:shd w:val="clear" w:color="000000" w:fill="E0E0E0"/>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Celkem</w:t>
            </w:r>
          </w:p>
        </w:tc>
        <w:tc>
          <w:tcPr>
            <w:tcW w:w="1491" w:type="dxa"/>
            <w:tcBorders>
              <w:top w:val="nil"/>
              <w:left w:val="single" w:sz="4" w:space="0" w:color="auto"/>
              <w:bottom w:val="single" w:sz="4" w:space="0" w:color="auto"/>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98</w:t>
            </w:r>
          </w:p>
        </w:tc>
        <w:tc>
          <w:tcPr>
            <w:tcW w:w="1493" w:type="dxa"/>
            <w:tcBorders>
              <w:top w:val="nil"/>
              <w:left w:val="nil"/>
              <w:bottom w:val="single" w:sz="4" w:space="0" w:color="auto"/>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100,0 %</w:t>
            </w:r>
          </w:p>
        </w:tc>
        <w:tc>
          <w:tcPr>
            <w:tcW w:w="1608" w:type="dxa"/>
            <w:tcBorders>
              <w:top w:val="nil"/>
              <w:left w:val="nil"/>
              <w:bottom w:val="single" w:sz="4" w:space="0" w:color="auto"/>
              <w:right w:val="single" w:sz="4" w:space="0" w:color="auto"/>
            </w:tcBorders>
            <w:shd w:val="clear" w:color="auto" w:fill="auto"/>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 </w:t>
            </w:r>
          </w:p>
        </w:tc>
      </w:tr>
    </w:tbl>
    <w:p w:rsidR="00B535EE" w:rsidRPr="004F652E" w:rsidRDefault="00B535EE" w:rsidP="00740020">
      <w:pPr>
        <w:rPr>
          <w:highlight w:val="yellow"/>
        </w:rPr>
      </w:pPr>
    </w:p>
    <w:p w:rsidR="00740020" w:rsidRPr="004F652E" w:rsidRDefault="00740020" w:rsidP="00740020">
      <w:pPr>
        <w:rPr>
          <w:highlight w:val="yellow"/>
        </w:rPr>
      </w:pPr>
      <w:r w:rsidRPr="004F652E">
        <w:rPr>
          <w:highlight w:val="yellow"/>
        </w:rPr>
        <w:t xml:space="preserve">Z četnosti kategorií jednotlivých syntetických ukazatelů plyne, že naprostá většina podniků, u kterých bylo vyhlášeno moratorium, se nacházela </w:t>
      </w:r>
      <w:r w:rsidRPr="004F652E">
        <w:rPr>
          <w:b/>
          <w:highlight w:val="yellow"/>
        </w:rPr>
        <w:t>v zóně bankrotních podniků</w:t>
      </w:r>
      <w:r w:rsidRPr="004F652E">
        <w:rPr>
          <w:highlight w:val="yellow"/>
        </w:rPr>
        <w:t xml:space="preserve">. Zóna bonitních podniků se naopak téměř nevyskytovala. Z analýzy četnosti kategorií dále plyne, že u ukazatele Kralickuv Rychlý test a indexu IN05 je větší shoda co do klasifikace podniků do jednotlivých zón. </w:t>
      </w:r>
    </w:p>
    <w:p w:rsidR="00740020" w:rsidRPr="004F652E" w:rsidRDefault="00740020" w:rsidP="00740020">
      <w:pPr>
        <w:rPr>
          <w:highlight w:val="yellow"/>
        </w:rPr>
      </w:pPr>
      <w:r w:rsidRPr="004F652E">
        <w:rPr>
          <w:highlight w:val="yellow"/>
        </w:rPr>
        <w:t>Vzhledem k významné preferenci indexu IN05 v České republice z pozice národního indexu bude další detailnější rozbor vývojových trendů finanční situace podniků demonstrován již jen na indexu IN05.</w:t>
      </w:r>
    </w:p>
    <w:p w:rsidR="00B535EE" w:rsidRPr="004F652E" w:rsidRDefault="00B535EE" w:rsidP="00740020">
      <w:pPr>
        <w:pStyle w:val="Titulek"/>
        <w:rPr>
          <w:highlight w:val="yellow"/>
        </w:rPr>
      </w:pPr>
      <w:bookmarkStart w:id="40" w:name="_Toc506149980"/>
    </w:p>
    <w:p w:rsidR="00740020" w:rsidRPr="004F652E" w:rsidRDefault="00740020" w:rsidP="00740020">
      <w:pPr>
        <w:pStyle w:val="Titulek"/>
        <w:rPr>
          <w:highlight w:val="yellow"/>
        </w:rPr>
      </w:pPr>
      <w:bookmarkStart w:id="41" w:name="_Toc31054790"/>
      <w:r w:rsidRPr="004F652E">
        <w:rPr>
          <w:highlight w:val="yellow"/>
        </w:rPr>
        <w:t xml:space="preserve">Tabulka </w:t>
      </w:r>
      <w:r w:rsidR="00163A91" w:rsidRPr="004F652E">
        <w:rPr>
          <w:noProof/>
          <w:highlight w:val="yellow"/>
        </w:rPr>
        <w:fldChar w:fldCharType="begin"/>
      </w:r>
      <w:r w:rsidRPr="004F652E">
        <w:rPr>
          <w:noProof/>
          <w:highlight w:val="yellow"/>
        </w:rPr>
        <w:instrText xml:space="preserve"> SEQ Tabulka \* ARABIC </w:instrText>
      </w:r>
      <w:r w:rsidR="00163A91" w:rsidRPr="004F652E">
        <w:rPr>
          <w:noProof/>
          <w:highlight w:val="yellow"/>
        </w:rPr>
        <w:fldChar w:fldCharType="separate"/>
      </w:r>
      <w:r w:rsidR="007C1EE6" w:rsidRPr="004F652E">
        <w:rPr>
          <w:noProof/>
          <w:highlight w:val="yellow"/>
        </w:rPr>
        <w:t>14</w:t>
      </w:r>
      <w:r w:rsidR="00163A91" w:rsidRPr="004F652E">
        <w:rPr>
          <w:noProof/>
          <w:highlight w:val="yellow"/>
        </w:rPr>
        <w:fldChar w:fldCharType="end"/>
      </w:r>
      <w:r w:rsidRPr="004F652E">
        <w:rPr>
          <w:highlight w:val="yellow"/>
        </w:rPr>
        <w:t xml:space="preserve"> – Relativní četnosti kategorií indexu IN05 v jednotlivých letech</w:t>
      </w:r>
      <w:bookmarkEnd w:id="40"/>
      <w:bookmarkEnd w:id="41"/>
    </w:p>
    <w:tbl>
      <w:tblPr>
        <w:tblW w:w="8505" w:type="dxa"/>
        <w:tblCellMar>
          <w:left w:w="70" w:type="dxa"/>
          <w:right w:w="70" w:type="dxa"/>
        </w:tblCellMar>
        <w:tblLook w:val="04A0"/>
      </w:tblPr>
      <w:tblGrid>
        <w:gridCol w:w="3045"/>
        <w:gridCol w:w="1365"/>
        <w:gridCol w:w="1365"/>
        <w:gridCol w:w="1365"/>
        <w:gridCol w:w="1365"/>
      </w:tblGrid>
      <w:tr w:rsidR="00740020" w:rsidRPr="004F652E" w:rsidTr="00740020">
        <w:trPr>
          <w:trHeight w:val="516"/>
        </w:trPr>
        <w:tc>
          <w:tcPr>
            <w:tcW w:w="3612" w:type="dxa"/>
            <w:tcBorders>
              <w:top w:val="single" w:sz="4" w:space="0" w:color="auto"/>
              <w:left w:val="single" w:sz="4" w:space="0" w:color="auto"/>
              <w:bottom w:val="single" w:sz="4" w:space="0" w:color="152935"/>
              <w:right w:val="nil"/>
            </w:tcBorders>
            <w:shd w:val="clear" w:color="auto" w:fill="auto"/>
            <w:vAlign w:val="center"/>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 </w:t>
            </w:r>
          </w:p>
        </w:tc>
        <w:tc>
          <w:tcPr>
            <w:tcW w:w="1365" w:type="dxa"/>
            <w:tcBorders>
              <w:top w:val="single" w:sz="4" w:space="0" w:color="auto"/>
              <w:left w:val="single" w:sz="4" w:space="0" w:color="auto"/>
              <w:bottom w:val="single" w:sz="4" w:space="0" w:color="152935"/>
              <w:right w:val="nil"/>
            </w:tcBorders>
            <w:shd w:val="clear" w:color="auto" w:fill="auto"/>
            <w:vAlign w:val="center"/>
            <w:hideMark/>
          </w:tcPr>
          <w:p w:rsidR="00740020" w:rsidRPr="004F652E" w:rsidRDefault="00740020" w:rsidP="00740020">
            <w:pPr>
              <w:spacing w:after="0" w:line="240" w:lineRule="auto"/>
              <w:jc w:val="center"/>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1 rok před moratoriem</w:t>
            </w:r>
          </w:p>
        </w:tc>
        <w:tc>
          <w:tcPr>
            <w:tcW w:w="1365" w:type="dxa"/>
            <w:tcBorders>
              <w:top w:val="single" w:sz="4" w:space="0" w:color="auto"/>
              <w:left w:val="single" w:sz="4" w:space="0" w:color="E0E0E0"/>
              <w:bottom w:val="single" w:sz="4" w:space="0" w:color="152935"/>
              <w:right w:val="single" w:sz="4" w:space="0" w:color="E0E0E0"/>
            </w:tcBorders>
            <w:shd w:val="clear" w:color="auto" w:fill="auto"/>
            <w:vAlign w:val="center"/>
            <w:hideMark/>
          </w:tcPr>
          <w:p w:rsidR="00740020" w:rsidRPr="004F652E" w:rsidRDefault="00740020" w:rsidP="00740020">
            <w:pPr>
              <w:spacing w:after="0" w:line="240" w:lineRule="auto"/>
              <w:jc w:val="center"/>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2 roky před moratoriem</w:t>
            </w:r>
          </w:p>
        </w:tc>
        <w:tc>
          <w:tcPr>
            <w:tcW w:w="1365" w:type="dxa"/>
            <w:tcBorders>
              <w:top w:val="single" w:sz="4" w:space="0" w:color="auto"/>
              <w:left w:val="nil"/>
              <w:bottom w:val="single" w:sz="4" w:space="0" w:color="152935"/>
              <w:right w:val="nil"/>
            </w:tcBorders>
            <w:shd w:val="clear" w:color="auto" w:fill="auto"/>
            <w:vAlign w:val="center"/>
            <w:hideMark/>
          </w:tcPr>
          <w:p w:rsidR="00740020" w:rsidRPr="004F652E" w:rsidRDefault="00740020" w:rsidP="00740020">
            <w:pPr>
              <w:spacing w:after="0" w:line="240" w:lineRule="auto"/>
              <w:jc w:val="center"/>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3 roky před moratoriem</w:t>
            </w:r>
          </w:p>
        </w:tc>
        <w:tc>
          <w:tcPr>
            <w:tcW w:w="1365" w:type="dxa"/>
            <w:tcBorders>
              <w:top w:val="single" w:sz="4" w:space="0" w:color="auto"/>
              <w:left w:val="single" w:sz="4" w:space="0" w:color="E0E0E0"/>
              <w:bottom w:val="nil"/>
              <w:right w:val="single" w:sz="4" w:space="0" w:color="auto"/>
            </w:tcBorders>
            <w:shd w:val="clear" w:color="auto" w:fill="auto"/>
            <w:vAlign w:val="center"/>
            <w:hideMark/>
          </w:tcPr>
          <w:p w:rsidR="00740020" w:rsidRPr="004F652E" w:rsidRDefault="00740020" w:rsidP="00740020">
            <w:pPr>
              <w:spacing w:after="0" w:line="240" w:lineRule="auto"/>
              <w:jc w:val="center"/>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Total</w:t>
            </w:r>
          </w:p>
        </w:tc>
      </w:tr>
      <w:tr w:rsidR="00740020" w:rsidRPr="004F652E" w:rsidTr="00740020">
        <w:trPr>
          <w:trHeight w:val="215"/>
        </w:trPr>
        <w:tc>
          <w:tcPr>
            <w:tcW w:w="3612" w:type="dxa"/>
            <w:tcBorders>
              <w:top w:val="nil"/>
              <w:left w:val="single" w:sz="4" w:space="0" w:color="auto"/>
              <w:bottom w:val="single" w:sz="4" w:space="0" w:color="AEAEAE"/>
              <w:right w:val="nil"/>
            </w:tcBorders>
            <w:shd w:val="clear" w:color="000000" w:fill="E0E0E0"/>
            <w:vAlign w:val="center"/>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1,600+ - Bonitní podnik</w:t>
            </w:r>
          </w:p>
        </w:tc>
        <w:tc>
          <w:tcPr>
            <w:tcW w:w="1365" w:type="dxa"/>
            <w:tcBorders>
              <w:top w:val="nil"/>
              <w:left w:val="single" w:sz="4" w:space="0" w:color="auto"/>
              <w:bottom w:val="single" w:sz="4" w:space="0" w:color="AEAEAE"/>
              <w:right w:val="nil"/>
            </w:tcBorders>
            <w:shd w:val="clear" w:color="auto" w:fill="auto"/>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 0 %</w:t>
            </w:r>
          </w:p>
        </w:tc>
        <w:tc>
          <w:tcPr>
            <w:tcW w:w="1365" w:type="dxa"/>
            <w:tcBorders>
              <w:top w:val="nil"/>
              <w:left w:val="single" w:sz="4" w:space="0" w:color="E0E0E0"/>
              <w:bottom w:val="single" w:sz="4" w:space="0" w:color="AEAEAE"/>
              <w:right w:val="single" w:sz="4" w:space="0" w:color="E0E0E0"/>
            </w:tcBorders>
            <w:shd w:val="clear" w:color="auto" w:fill="auto"/>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 0 %</w:t>
            </w:r>
          </w:p>
        </w:tc>
        <w:tc>
          <w:tcPr>
            <w:tcW w:w="1365" w:type="dxa"/>
            <w:tcBorders>
              <w:top w:val="nil"/>
              <w:left w:val="nil"/>
              <w:bottom w:val="single" w:sz="4" w:space="0" w:color="AEAEAE"/>
              <w:right w:val="nil"/>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2,5 %</w:t>
            </w:r>
          </w:p>
        </w:tc>
        <w:tc>
          <w:tcPr>
            <w:tcW w:w="1365" w:type="dxa"/>
            <w:tcBorders>
              <w:top w:val="single" w:sz="4" w:space="0" w:color="152935"/>
              <w:left w:val="single" w:sz="4" w:space="0" w:color="E0E0E0"/>
              <w:bottom w:val="single" w:sz="4" w:space="0" w:color="AEAEAE"/>
              <w:right w:val="single" w:sz="4" w:space="0" w:color="auto"/>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1,0 %</w:t>
            </w:r>
          </w:p>
        </w:tc>
      </w:tr>
      <w:tr w:rsidR="00740020" w:rsidRPr="004F652E" w:rsidTr="00740020">
        <w:trPr>
          <w:trHeight w:val="215"/>
        </w:trPr>
        <w:tc>
          <w:tcPr>
            <w:tcW w:w="3612" w:type="dxa"/>
            <w:tcBorders>
              <w:top w:val="nil"/>
              <w:left w:val="single" w:sz="4" w:space="0" w:color="auto"/>
              <w:bottom w:val="single" w:sz="4" w:space="0" w:color="AEAEAE"/>
              <w:right w:val="nil"/>
            </w:tcBorders>
            <w:shd w:val="clear" w:color="000000" w:fill="E0E0E0"/>
            <w:vAlign w:val="center"/>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,900 - 1,599 - Šedá zóna</w:t>
            </w:r>
          </w:p>
        </w:tc>
        <w:tc>
          <w:tcPr>
            <w:tcW w:w="1365" w:type="dxa"/>
            <w:tcBorders>
              <w:top w:val="nil"/>
              <w:left w:val="single" w:sz="4" w:space="0" w:color="auto"/>
              <w:bottom w:val="single" w:sz="4" w:space="0" w:color="AEAEAE"/>
              <w:right w:val="nil"/>
            </w:tcBorders>
            <w:shd w:val="clear" w:color="auto" w:fill="auto"/>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 0 %</w:t>
            </w:r>
          </w:p>
        </w:tc>
        <w:tc>
          <w:tcPr>
            <w:tcW w:w="1365" w:type="dxa"/>
            <w:tcBorders>
              <w:top w:val="nil"/>
              <w:left w:val="single" w:sz="4" w:space="0" w:color="E0E0E0"/>
              <w:bottom w:val="single" w:sz="4" w:space="0" w:color="AEAEAE"/>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14,3 %</w:t>
            </w:r>
          </w:p>
        </w:tc>
        <w:tc>
          <w:tcPr>
            <w:tcW w:w="1365" w:type="dxa"/>
            <w:tcBorders>
              <w:top w:val="nil"/>
              <w:left w:val="nil"/>
              <w:bottom w:val="single" w:sz="4" w:space="0" w:color="AEAEAE"/>
              <w:right w:val="nil"/>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22,5 %</w:t>
            </w:r>
          </w:p>
        </w:tc>
        <w:tc>
          <w:tcPr>
            <w:tcW w:w="1365" w:type="dxa"/>
            <w:tcBorders>
              <w:top w:val="nil"/>
              <w:left w:val="single" w:sz="4" w:space="0" w:color="E0E0E0"/>
              <w:bottom w:val="single" w:sz="4" w:space="0" w:color="AEAEAE"/>
              <w:right w:val="single" w:sz="4" w:space="0" w:color="auto"/>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14,3 %</w:t>
            </w:r>
          </w:p>
        </w:tc>
      </w:tr>
      <w:tr w:rsidR="00740020" w:rsidRPr="004F652E" w:rsidTr="00740020">
        <w:trPr>
          <w:trHeight w:val="215"/>
        </w:trPr>
        <w:tc>
          <w:tcPr>
            <w:tcW w:w="3612" w:type="dxa"/>
            <w:tcBorders>
              <w:top w:val="nil"/>
              <w:left w:val="single" w:sz="4" w:space="0" w:color="auto"/>
              <w:bottom w:val="single" w:sz="4" w:space="0" w:color="AEAEAE"/>
              <w:right w:val="nil"/>
            </w:tcBorders>
            <w:shd w:val="clear" w:color="000000" w:fill="E0E0E0"/>
            <w:vAlign w:val="center"/>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proofErr w:type="gramStart"/>
            <w:r w:rsidRPr="004F652E">
              <w:rPr>
                <w:rFonts w:ascii="Arial" w:eastAsia="Times New Roman" w:hAnsi="Arial" w:cs="Arial"/>
                <w:color w:val="264A60"/>
                <w:sz w:val="18"/>
                <w:szCs w:val="18"/>
                <w:highlight w:val="yellow"/>
                <w:lang w:eastAsia="cs-CZ"/>
              </w:rPr>
              <w:t>&lt; ,900</w:t>
            </w:r>
            <w:proofErr w:type="gramEnd"/>
            <w:r w:rsidRPr="004F652E">
              <w:rPr>
                <w:rFonts w:ascii="Arial" w:eastAsia="Times New Roman" w:hAnsi="Arial" w:cs="Arial"/>
                <w:color w:val="264A60"/>
                <w:sz w:val="18"/>
                <w:szCs w:val="18"/>
                <w:highlight w:val="yellow"/>
                <w:lang w:eastAsia="cs-CZ"/>
              </w:rPr>
              <w:t xml:space="preserve"> - Bankrotní podnik</w:t>
            </w:r>
          </w:p>
        </w:tc>
        <w:tc>
          <w:tcPr>
            <w:tcW w:w="1365" w:type="dxa"/>
            <w:tcBorders>
              <w:top w:val="nil"/>
              <w:left w:val="single" w:sz="4" w:space="0" w:color="auto"/>
              <w:bottom w:val="single" w:sz="4" w:space="0" w:color="AEAEAE"/>
              <w:right w:val="nil"/>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b/>
                <w:color w:val="010205"/>
                <w:sz w:val="18"/>
                <w:szCs w:val="18"/>
                <w:highlight w:val="yellow"/>
                <w:lang w:eastAsia="cs-CZ"/>
              </w:rPr>
            </w:pPr>
            <w:r w:rsidRPr="004F652E">
              <w:rPr>
                <w:rFonts w:ascii="Arial" w:eastAsia="Times New Roman" w:hAnsi="Arial" w:cs="Arial"/>
                <w:b/>
                <w:color w:val="010205"/>
                <w:sz w:val="18"/>
                <w:szCs w:val="18"/>
                <w:highlight w:val="yellow"/>
                <w:lang w:eastAsia="cs-CZ"/>
              </w:rPr>
              <w:t>100,0 %</w:t>
            </w:r>
          </w:p>
        </w:tc>
        <w:tc>
          <w:tcPr>
            <w:tcW w:w="1365" w:type="dxa"/>
            <w:tcBorders>
              <w:top w:val="nil"/>
              <w:left w:val="single" w:sz="4" w:space="0" w:color="E0E0E0"/>
              <w:bottom w:val="single" w:sz="4" w:space="0" w:color="AEAEAE"/>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b/>
                <w:color w:val="010205"/>
                <w:sz w:val="18"/>
                <w:szCs w:val="18"/>
                <w:highlight w:val="yellow"/>
                <w:lang w:eastAsia="cs-CZ"/>
              </w:rPr>
            </w:pPr>
            <w:r w:rsidRPr="004F652E">
              <w:rPr>
                <w:rFonts w:ascii="Arial" w:eastAsia="Times New Roman" w:hAnsi="Arial" w:cs="Arial"/>
                <w:b/>
                <w:color w:val="010205"/>
                <w:sz w:val="18"/>
                <w:szCs w:val="18"/>
                <w:highlight w:val="yellow"/>
                <w:lang w:eastAsia="cs-CZ"/>
              </w:rPr>
              <w:t>85,7 %</w:t>
            </w:r>
          </w:p>
        </w:tc>
        <w:tc>
          <w:tcPr>
            <w:tcW w:w="1365" w:type="dxa"/>
            <w:tcBorders>
              <w:top w:val="nil"/>
              <w:left w:val="nil"/>
              <w:bottom w:val="single" w:sz="4" w:space="0" w:color="AEAEAE"/>
              <w:right w:val="nil"/>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b/>
                <w:color w:val="010205"/>
                <w:sz w:val="18"/>
                <w:szCs w:val="18"/>
                <w:highlight w:val="yellow"/>
                <w:lang w:eastAsia="cs-CZ"/>
              </w:rPr>
            </w:pPr>
            <w:r w:rsidRPr="004F652E">
              <w:rPr>
                <w:rFonts w:ascii="Arial" w:eastAsia="Times New Roman" w:hAnsi="Arial" w:cs="Arial"/>
                <w:b/>
                <w:color w:val="010205"/>
                <w:sz w:val="18"/>
                <w:szCs w:val="18"/>
                <w:highlight w:val="yellow"/>
                <w:lang w:eastAsia="cs-CZ"/>
              </w:rPr>
              <w:t>75,0 %</w:t>
            </w:r>
          </w:p>
        </w:tc>
        <w:tc>
          <w:tcPr>
            <w:tcW w:w="1365" w:type="dxa"/>
            <w:tcBorders>
              <w:top w:val="nil"/>
              <w:left w:val="single" w:sz="4" w:space="0" w:color="E0E0E0"/>
              <w:bottom w:val="single" w:sz="4" w:space="0" w:color="AEAEAE"/>
              <w:right w:val="single" w:sz="4" w:space="0" w:color="auto"/>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b/>
                <w:color w:val="010205"/>
                <w:sz w:val="18"/>
                <w:szCs w:val="18"/>
                <w:highlight w:val="yellow"/>
                <w:lang w:eastAsia="cs-CZ"/>
              </w:rPr>
            </w:pPr>
            <w:r w:rsidRPr="004F652E">
              <w:rPr>
                <w:rFonts w:ascii="Arial" w:eastAsia="Times New Roman" w:hAnsi="Arial" w:cs="Arial"/>
                <w:b/>
                <w:color w:val="010205"/>
                <w:sz w:val="18"/>
                <w:szCs w:val="18"/>
                <w:highlight w:val="yellow"/>
                <w:lang w:eastAsia="cs-CZ"/>
              </w:rPr>
              <w:t>84,7 %</w:t>
            </w:r>
          </w:p>
        </w:tc>
      </w:tr>
      <w:tr w:rsidR="00740020" w:rsidRPr="004F652E" w:rsidTr="00740020">
        <w:trPr>
          <w:trHeight w:val="215"/>
        </w:trPr>
        <w:tc>
          <w:tcPr>
            <w:tcW w:w="3612" w:type="dxa"/>
            <w:tcBorders>
              <w:top w:val="nil"/>
              <w:left w:val="single" w:sz="4" w:space="0" w:color="auto"/>
              <w:bottom w:val="single" w:sz="4" w:space="0" w:color="auto"/>
              <w:right w:val="nil"/>
            </w:tcBorders>
            <w:shd w:val="clear" w:color="000000" w:fill="E0E0E0"/>
            <w:vAlign w:val="center"/>
            <w:hideMark/>
          </w:tcPr>
          <w:p w:rsidR="00740020" w:rsidRPr="004F652E" w:rsidRDefault="00740020" w:rsidP="00740020">
            <w:pPr>
              <w:spacing w:after="0" w:line="240" w:lineRule="auto"/>
              <w:jc w:val="left"/>
              <w:rPr>
                <w:rFonts w:ascii="Arial" w:eastAsia="Times New Roman" w:hAnsi="Arial" w:cs="Arial"/>
                <w:color w:val="264A60"/>
                <w:sz w:val="18"/>
                <w:szCs w:val="18"/>
                <w:highlight w:val="yellow"/>
                <w:lang w:eastAsia="cs-CZ"/>
              </w:rPr>
            </w:pPr>
            <w:r w:rsidRPr="004F652E">
              <w:rPr>
                <w:rFonts w:ascii="Arial" w:eastAsia="Times New Roman" w:hAnsi="Arial" w:cs="Arial"/>
                <w:color w:val="264A60"/>
                <w:sz w:val="18"/>
                <w:szCs w:val="18"/>
                <w:highlight w:val="yellow"/>
                <w:lang w:eastAsia="cs-CZ"/>
              </w:rPr>
              <w:t> Celkem</w:t>
            </w:r>
          </w:p>
        </w:tc>
        <w:tc>
          <w:tcPr>
            <w:tcW w:w="1365" w:type="dxa"/>
            <w:tcBorders>
              <w:top w:val="nil"/>
              <w:left w:val="single" w:sz="4" w:space="0" w:color="auto"/>
              <w:bottom w:val="single" w:sz="4" w:space="0" w:color="auto"/>
              <w:right w:val="nil"/>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100,0 %</w:t>
            </w:r>
          </w:p>
        </w:tc>
        <w:tc>
          <w:tcPr>
            <w:tcW w:w="1365" w:type="dxa"/>
            <w:tcBorders>
              <w:top w:val="nil"/>
              <w:left w:val="single" w:sz="4" w:space="0" w:color="E0E0E0"/>
              <w:bottom w:val="single" w:sz="4" w:space="0" w:color="auto"/>
              <w:right w:val="single" w:sz="4" w:space="0" w:color="E0E0E0"/>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100,0 %</w:t>
            </w:r>
          </w:p>
        </w:tc>
        <w:tc>
          <w:tcPr>
            <w:tcW w:w="1365" w:type="dxa"/>
            <w:tcBorders>
              <w:top w:val="nil"/>
              <w:left w:val="nil"/>
              <w:bottom w:val="single" w:sz="4" w:space="0" w:color="auto"/>
              <w:right w:val="nil"/>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100,0 %</w:t>
            </w:r>
          </w:p>
        </w:tc>
        <w:tc>
          <w:tcPr>
            <w:tcW w:w="1365" w:type="dxa"/>
            <w:tcBorders>
              <w:top w:val="nil"/>
              <w:left w:val="single" w:sz="4" w:space="0" w:color="E0E0E0"/>
              <w:bottom w:val="single" w:sz="4" w:space="0" w:color="auto"/>
              <w:right w:val="single" w:sz="4" w:space="0" w:color="auto"/>
            </w:tcBorders>
            <w:shd w:val="clear" w:color="auto" w:fill="auto"/>
            <w:noWrap/>
            <w:vAlign w:val="center"/>
            <w:hideMark/>
          </w:tcPr>
          <w:p w:rsidR="00740020" w:rsidRPr="004F652E" w:rsidRDefault="00740020" w:rsidP="00740020">
            <w:pPr>
              <w:spacing w:after="0" w:line="240" w:lineRule="auto"/>
              <w:jc w:val="center"/>
              <w:rPr>
                <w:rFonts w:ascii="Arial" w:eastAsia="Times New Roman" w:hAnsi="Arial" w:cs="Arial"/>
                <w:color w:val="010205"/>
                <w:sz w:val="18"/>
                <w:szCs w:val="18"/>
                <w:highlight w:val="yellow"/>
                <w:lang w:eastAsia="cs-CZ"/>
              </w:rPr>
            </w:pPr>
            <w:r w:rsidRPr="004F652E">
              <w:rPr>
                <w:rFonts w:ascii="Arial" w:eastAsia="Times New Roman" w:hAnsi="Arial" w:cs="Arial"/>
                <w:color w:val="010205"/>
                <w:sz w:val="18"/>
                <w:szCs w:val="18"/>
                <w:highlight w:val="yellow"/>
                <w:lang w:eastAsia="cs-CZ"/>
              </w:rPr>
              <w:t>100,0 %</w:t>
            </w:r>
          </w:p>
        </w:tc>
      </w:tr>
    </w:tbl>
    <w:p w:rsidR="00740020" w:rsidRPr="004F652E" w:rsidRDefault="00740020" w:rsidP="00740020">
      <w:pPr>
        <w:pStyle w:val="Bezmezer"/>
        <w:rPr>
          <w:highlight w:val="yellow"/>
        </w:rPr>
      </w:pPr>
    </w:p>
    <w:p w:rsidR="00B535EE" w:rsidRPr="004F652E" w:rsidRDefault="00B535EE" w:rsidP="00740020">
      <w:pPr>
        <w:pStyle w:val="Bezmezer"/>
        <w:rPr>
          <w:highlight w:val="yellow"/>
        </w:rPr>
      </w:pPr>
    </w:p>
    <w:p w:rsidR="00740020" w:rsidRPr="004F652E" w:rsidRDefault="00740020" w:rsidP="00740020">
      <w:pPr>
        <w:rPr>
          <w:highlight w:val="yellow"/>
        </w:rPr>
      </w:pPr>
      <w:r w:rsidRPr="004F652E">
        <w:rPr>
          <w:highlight w:val="yellow"/>
        </w:rPr>
        <w:t xml:space="preserve">Z analýzy relativních četností kategorií indexu IN05 v jednotlivých letech před vyhlášením moratoria je patrné, </w:t>
      </w:r>
      <w:r w:rsidRPr="004F652E">
        <w:rPr>
          <w:b/>
          <w:highlight w:val="yellow"/>
        </w:rPr>
        <w:t>že většina podniků se ve všech třech letech před vyhlášením moratoria nacházela v kategorii bankrotních podniků</w:t>
      </w:r>
      <w:r w:rsidRPr="004F652E">
        <w:rPr>
          <w:highlight w:val="yellow"/>
        </w:rPr>
        <w:t xml:space="preserve">. V kategorii bonitních podniků se pouze tři roky před vyhlášením moratoria nacházelo 2,5 % podniků. </w:t>
      </w:r>
    </w:p>
    <w:bookmarkEnd w:id="10"/>
    <w:bookmarkEnd w:id="11"/>
    <w:p w:rsidR="00740020" w:rsidRDefault="00740020" w:rsidP="00740020">
      <w:r w:rsidRPr="004F652E">
        <w:rPr>
          <w:highlight w:val="yellow"/>
        </w:rPr>
        <w:t>Dále uvedený graf prezentuje zejména „stěhování“, resp. „redistribuci“ rozdělení četností v období před vyhlášením moratoria.</w:t>
      </w:r>
      <w:r>
        <w:t xml:space="preserve"> </w:t>
      </w:r>
    </w:p>
    <w:p w:rsidR="00B535EE" w:rsidRDefault="00B535EE" w:rsidP="00740020"/>
    <w:p w:rsidR="00B535EE" w:rsidRDefault="00B535EE" w:rsidP="00740020"/>
    <w:p w:rsidR="00B535EE" w:rsidRDefault="00B535EE" w:rsidP="00740020"/>
    <w:p w:rsidR="00B535EE" w:rsidRDefault="00B535EE" w:rsidP="00740020"/>
    <w:p w:rsidR="00B535EE" w:rsidRDefault="00B535EE" w:rsidP="00740020"/>
    <w:p w:rsidR="00740020" w:rsidRDefault="00740020" w:rsidP="00740020">
      <w:pPr>
        <w:pStyle w:val="Titulek"/>
      </w:pPr>
      <w:bookmarkStart w:id="42" w:name="_Toc506149994"/>
      <w:bookmarkStart w:id="43" w:name="_Toc31054919"/>
      <w:r>
        <w:t xml:space="preserve">Graf </w:t>
      </w:r>
      <w:r w:rsidR="00163A91">
        <w:rPr>
          <w:noProof/>
        </w:rPr>
        <w:fldChar w:fldCharType="begin"/>
      </w:r>
      <w:r>
        <w:rPr>
          <w:noProof/>
        </w:rPr>
        <w:instrText xml:space="preserve"> SEQ Graf \* ARABIC </w:instrText>
      </w:r>
      <w:r w:rsidR="00163A91">
        <w:rPr>
          <w:noProof/>
        </w:rPr>
        <w:fldChar w:fldCharType="separate"/>
      </w:r>
      <w:r w:rsidR="007C1EE6">
        <w:rPr>
          <w:noProof/>
        </w:rPr>
        <w:t>1</w:t>
      </w:r>
      <w:r w:rsidR="00163A91">
        <w:rPr>
          <w:noProof/>
        </w:rPr>
        <w:fldChar w:fldCharType="end"/>
      </w:r>
      <w:r>
        <w:t xml:space="preserve"> – Rozdělení četností indexu IN05</w:t>
      </w:r>
      <w:bookmarkEnd w:id="42"/>
      <w:bookmarkEnd w:id="43"/>
    </w:p>
    <w:p w:rsidR="00740020" w:rsidRDefault="00740020" w:rsidP="00740020">
      <w:pPr>
        <w:spacing w:after="0"/>
      </w:pPr>
      <w:r>
        <w:rPr>
          <w:rFonts w:cs="Times New Roman"/>
          <w:noProof/>
          <w:szCs w:val="24"/>
          <w:lang w:eastAsia="cs-CZ"/>
        </w:rPr>
        <w:drawing>
          <wp:inline distT="0" distB="0" distL="0" distR="0">
            <wp:extent cx="5342709" cy="3141727"/>
            <wp:effectExtent l="0" t="0" r="0" b="190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6917" cy="3150082"/>
                    </a:xfrm>
                    <a:prstGeom prst="rect">
                      <a:avLst/>
                    </a:prstGeom>
                    <a:noFill/>
                    <a:ln>
                      <a:noFill/>
                    </a:ln>
                  </pic:spPr>
                </pic:pic>
              </a:graphicData>
            </a:graphic>
          </wp:inline>
        </w:drawing>
      </w:r>
    </w:p>
    <w:p w:rsidR="00740020" w:rsidRDefault="00740020" w:rsidP="00740020"/>
    <w:p w:rsidR="00740020" w:rsidRDefault="00740020" w:rsidP="00740020">
      <w:r w:rsidRPr="00721451">
        <w:t>Z grafické prezentace je patrný posun rozdělení četností hodnot indexu IN05 v jednotlivých letech před vyhlášením moratoria směrem k nižším hodnotám, tedy zhoršování hodnoty tohoto indexu, a to postupně propadem hluboko pod hranici bankrotní zóny. Kr</w:t>
      </w:r>
      <w:r>
        <w:t>o</w:t>
      </w:r>
      <w:r w:rsidRPr="00721451">
        <w:t>mě toho je s blížícím se vyhlášením moratoria rovněž patrné zvyšování kvartilového rozpětí, což znamená, že 50</w:t>
      </w:r>
      <w:r>
        <w:t> </w:t>
      </w:r>
      <w:r w:rsidRPr="00721451">
        <w:t>% hodnot indexu IN05 je rozprostřeno do stále většího intervalu</w:t>
      </w:r>
      <w:r>
        <w:t xml:space="preserve"> (zvětšuje se rozptyl), a to </w:t>
      </w:r>
      <w:r w:rsidRPr="00721451">
        <w:t>pod</w:t>
      </w:r>
      <w:r>
        <w:t> </w:t>
      </w:r>
      <w:r w:rsidRPr="00721451">
        <w:t>hranicí bankrotní zóny a také stále více pod mediánem. To je patrné zejména v období jednoho roku před moratoriem.</w:t>
      </w:r>
      <w:r>
        <w:t xml:space="preserve"> Je tak vidět značně se zhoršující situace podniků v průběhu tří let před vyhlášením moratoria (měřená indexem IN05). Za povšimnutí stojí také výrazné prodlužování a posun dolní hradby v jednotlivých letech před moratoriem. To znamená, že 25 % nejnižších hodnot je rozprostřeno do stále většího intervalu, a to opět hluboko pod hranicí bankrotní zóny.</w:t>
      </w:r>
    </w:p>
    <w:p w:rsidR="00740020" w:rsidRDefault="00740020" w:rsidP="00B535EE">
      <w:r>
        <w:t>Následující analýza ukazuje závislost hodnoty indexu IN05 na intervalech poměrových ukazatelů.</w:t>
      </w:r>
    </w:p>
    <w:p w:rsidR="00B535EE" w:rsidRDefault="00B535EE" w:rsidP="00B535EE"/>
    <w:p w:rsidR="00740020" w:rsidRDefault="00740020" w:rsidP="00740020">
      <w:pPr>
        <w:pStyle w:val="Titulek"/>
      </w:pPr>
      <w:bookmarkStart w:id="44" w:name="_Ref528015867"/>
      <w:bookmarkStart w:id="45" w:name="_Toc31054791"/>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15</w:t>
      </w:r>
      <w:r w:rsidR="00163A91">
        <w:rPr>
          <w:noProof/>
        </w:rPr>
        <w:fldChar w:fldCharType="end"/>
      </w:r>
      <w:bookmarkEnd w:id="44"/>
      <w:r>
        <w:t xml:space="preserve"> – Závislost hodnoty indexu IN05 na intervalech poměrových ukazatelů</w:t>
      </w:r>
      <w:bookmarkEnd w:id="45"/>
    </w:p>
    <w:tbl>
      <w:tblPr>
        <w:tblW w:w="8534" w:type="dxa"/>
        <w:tblCellMar>
          <w:left w:w="70" w:type="dxa"/>
          <w:right w:w="70" w:type="dxa"/>
        </w:tblCellMar>
        <w:tblLook w:val="04A0"/>
      </w:tblPr>
      <w:tblGrid>
        <w:gridCol w:w="6681"/>
        <w:gridCol w:w="1853"/>
      </w:tblGrid>
      <w:tr w:rsidR="00740020" w:rsidRPr="0052406B" w:rsidTr="00740020">
        <w:trPr>
          <w:trHeight w:val="157"/>
        </w:trPr>
        <w:tc>
          <w:tcPr>
            <w:tcW w:w="6681" w:type="dxa"/>
            <w:tcBorders>
              <w:top w:val="single" w:sz="4" w:space="0" w:color="auto"/>
              <w:left w:val="single" w:sz="4" w:space="0" w:color="auto"/>
              <w:bottom w:val="single" w:sz="4" w:space="0" w:color="152935"/>
              <w:right w:val="nil"/>
            </w:tcBorders>
            <w:shd w:val="clear" w:color="auto" w:fill="auto"/>
            <w:vAlign w:val="center"/>
            <w:hideMark/>
          </w:tcPr>
          <w:p w:rsidR="00740020" w:rsidRPr="0052406B" w:rsidRDefault="00740020" w:rsidP="00740020">
            <w:pPr>
              <w:spacing w:after="0" w:line="240" w:lineRule="auto"/>
              <w:jc w:val="left"/>
              <w:rPr>
                <w:rFonts w:ascii="Arial" w:eastAsia="Times New Roman" w:hAnsi="Arial" w:cs="Arial"/>
                <w:color w:val="264A60"/>
                <w:sz w:val="18"/>
                <w:szCs w:val="18"/>
                <w:lang w:eastAsia="cs-CZ"/>
              </w:rPr>
            </w:pPr>
            <w:r w:rsidRPr="0052406B">
              <w:rPr>
                <w:rFonts w:ascii="Arial" w:eastAsia="Times New Roman" w:hAnsi="Arial" w:cs="Arial"/>
                <w:color w:val="264A60"/>
                <w:sz w:val="18"/>
                <w:szCs w:val="18"/>
                <w:lang w:eastAsia="cs-CZ"/>
              </w:rPr>
              <w:t> </w:t>
            </w:r>
          </w:p>
        </w:tc>
        <w:tc>
          <w:tcPr>
            <w:tcW w:w="1853" w:type="dxa"/>
            <w:tcBorders>
              <w:top w:val="single" w:sz="4" w:space="0" w:color="auto"/>
              <w:left w:val="nil"/>
              <w:bottom w:val="single" w:sz="4" w:space="0" w:color="152935"/>
              <w:right w:val="single" w:sz="4" w:space="0" w:color="auto"/>
            </w:tcBorders>
            <w:shd w:val="clear" w:color="auto" w:fill="auto"/>
            <w:vAlign w:val="center"/>
            <w:hideMark/>
          </w:tcPr>
          <w:p w:rsidR="00740020" w:rsidRPr="0052406B" w:rsidRDefault="00740020" w:rsidP="00740020">
            <w:pPr>
              <w:spacing w:after="0" w:line="240" w:lineRule="auto"/>
              <w:jc w:val="center"/>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éta</w:t>
            </w:r>
          </w:p>
        </w:tc>
      </w:tr>
      <w:tr w:rsidR="00740020" w:rsidRPr="0052406B" w:rsidTr="00740020">
        <w:trPr>
          <w:trHeight w:val="297"/>
        </w:trPr>
        <w:tc>
          <w:tcPr>
            <w:tcW w:w="6681" w:type="dxa"/>
            <w:tcBorders>
              <w:top w:val="nil"/>
              <w:left w:val="single" w:sz="4" w:space="0" w:color="auto"/>
              <w:bottom w:val="single" w:sz="4" w:space="0" w:color="152935"/>
              <w:right w:val="nil"/>
            </w:tcBorders>
            <w:shd w:val="clear" w:color="000000" w:fill="E0E0E0"/>
            <w:vAlign w:val="center"/>
            <w:hideMark/>
          </w:tcPr>
          <w:p w:rsidR="00740020" w:rsidRPr="0052406B" w:rsidRDefault="00740020" w:rsidP="00740020">
            <w:pPr>
              <w:spacing w:after="0" w:line="240" w:lineRule="auto"/>
              <w:jc w:val="left"/>
              <w:rPr>
                <w:rFonts w:ascii="Arial" w:eastAsia="Times New Roman" w:hAnsi="Arial" w:cs="Arial"/>
                <w:color w:val="264A60"/>
                <w:sz w:val="18"/>
                <w:szCs w:val="18"/>
                <w:lang w:eastAsia="cs-CZ"/>
              </w:rPr>
            </w:pPr>
            <w:r w:rsidRPr="0052406B">
              <w:rPr>
                <w:rFonts w:ascii="Arial" w:eastAsia="Times New Roman" w:hAnsi="Arial" w:cs="Arial"/>
                <w:color w:val="264A60"/>
                <w:sz w:val="18"/>
                <w:szCs w:val="18"/>
                <w:lang w:eastAsia="cs-CZ"/>
              </w:rPr>
              <w:t>Index IN05 * Intervaly marže primární EBITDA</w:t>
            </w:r>
          </w:p>
        </w:tc>
        <w:tc>
          <w:tcPr>
            <w:tcW w:w="1853" w:type="dxa"/>
            <w:tcBorders>
              <w:top w:val="nil"/>
              <w:left w:val="nil"/>
              <w:bottom w:val="single" w:sz="4" w:space="0" w:color="152935"/>
              <w:right w:val="single" w:sz="4" w:space="0" w:color="auto"/>
            </w:tcBorders>
            <w:shd w:val="clear" w:color="auto" w:fill="auto"/>
            <w:noWrap/>
            <w:vAlign w:val="center"/>
            <w:hideMark/>
          </w:tcPr>
          <w:p w:rsidR="00740020" w:rsidRPr="0052406B" w:rsidRDefault="00740020" w:rsidP="00740020">
            <w:pPr>
              <w:spacing w:after="0" w:line="240" w:lineRule="auto"/>
              <w:jc w:val="center"/>
              <w:rPr>
                <w:rFonts w:ascii="Arial" w:eastAsia="Times New Roman" w:hAnsi="Arial" w:cs="Arial"/>
                <w:color w:val="010205"/>
                <w:sz w:val="18"/>
                <w:szCs w:val="18"/>
                <w:lang w:eastAsia="cs-CZ"/>
              </w:rPr>
            </w:pPr>
            <w:r w:rsidRPr="0052406B">
              <w:rPr>
                <w:rFonts w:ascii="Arial" w:eastAsia="Times New Roman" w:hAnsi="Arial" w:cs="Arial"/>
                <w:color w:val="010205"/>
                <w:sz w:val="18"/>
                <w:szCs w:val="18"/>
                <w:lang w:eastAsia="cs-CZ"/>
              </w:rPr>
              <w:t>0,509</w:t>
            </w:r>
          </w:p>
        </w:tc>
      </w:tr>
      <w:tr w:rsidR="00740020" w:rsidRPr="0052406B" w:rsidTr="00740020">
        <w:trPr>
          <w:trHeight w:val="455"/>
        </w:trPr>
        <w:tc>
          <w:tcPr>
            <w:tcW w:w="6681" w:type="dxa"/>
            <w:tcBorders>
              <w:top w:val="nil"/>
              <w:left w:val="single" w:sz="4" w:space="0" w:color="auto"/>
              <w:bottom w:val="single" w:sz="4" w:space="0" w:color="152935"/>
              <w:right w:val="nil"/>
            </w:tcBorders>
            <w:shd w:val="clear" w:color="000000" w:fill="E0E0E0"/>
            <w:vAlign w:val="center"/>
            <w:hideMark/>
          </w:tcPr>
          <w:p w:rsidR="00740020" w:rsidRPr="0052406B" w:rsidRDefault="00740020" w:rsidP="00740020">
            <w:pPr>
              <w:spacing w:after="0" w:line="240" w:lineRule="auto"/>
              <w:jc w:val="left"/>
              <w:rPr>
                <w:rFonts w:ascii="Arial" w:eastAsia="Times New Roman" w:hAnsi="Arial" w:cs="Arial"/>
                <w:color w:val="264A60"/>
                <w:sz w:val="18"/>
                <w:szCs w:val="18"/>
                <w:lang w:eastAsia="cs-CZ"/>
              </w:rPr>
            </w:pPr>
            <w:r w:rsidRPr="0052406B">
              <w:rPr>
                <w:rFonts w:ascii="Arial" w:eastAsia="Times New Roman" w:hAnsi="Arial" w:cs="Arial"/>
                <w:color w:val="264A60"/>
                <w:sz w:val="18"/>
                <w:szCs w:val="18"/>
                <w:lang w:eastAsia="cs-CZ"/>
              </w:rPr>
              <w:t>Index IN05 * Intervaly podílu</w:t>
            </w:r>
            <w:r>
              <w:rPr>
                <w:rFonts w:ascii="Arial" w:eastAsia="Times New Roman" w:hAnsi="Arial" w:cs="Arial"/>
                <w:color w:val="264A60"/>
                <w:sz w:val="18"/>
                <w:szCs w:val="18"/>
                <w:lang w:eastAsia="cs-CZ"/>
              </w:rPr>
              <w:t xml:space="preserve"> hotovosti na</w:t>
            </w:r>
            <w:r w:rsidRPr="0052406B">
              <w:rPr>
                <w:rFonts w:ascii="Arial" w:eastAsia="Times New Roman" w:hAnsi="Arial" w:cs="Arial"/>
                <w:color w:val="264A60"/>
                <w:sz w:val="18"/>
                <w:szCs w:val="18"/>
                <w:lang w:eastAsia="cs-CZ"/>
              </w:rPr>
              <w:t xml:space="preserve"> nutné hotovosti</w:t>
            </w:r>
          </w:p>
        </w:tc>
        <w:tc>
          <w:tcPr>
            <w:tcW w:w="1853" w:type="dxa"/>
            <w:tcBorders>
              <w:top w:val="nil"/>
              <w:left w:val="nil"/>
              <w:bottom w:val="single" w:sz="4" w:space="0" w:color="152935"/>
              <w:right w:val="single" w:sz="4" w:space="0" w:color="auto"/>
            </w:tcBorders>
            <w:shd w:val="clear" w:color="auto" w:fill="auto"/>
            <w:noWrap/>
            <w:vAlign w:val="center"/>
            <w:hideMark/>
          </w:tcPr>
          <w:p w:rsidR="00740020" w:rsidRPr="0052406B" w:rsidRDefault="00740020" w:rsidP="00740020">
            <w:pPr>
              <w:spacing w:after="0" w:line="240" w:lineRule="auto"/>
              <w:jc w:val="center"/>
              <w:rPr>
                <w:rFonts w:ascii="Arial" w:eastAsia="Times New Roman" w:hAnsi="Arial" w:cs="Arial"/>
                <w:color w:val="010205"/>
                <w:sz w:val="18"/>
                <w:szCs w:val="18"/>
                <w:lang w:eastAsia="cs-CZ"/>
              </w:rPr>
            </w:pPr>
            <w:r w:rsidRPr="0052406B">
              <w:rPr>
                <w:rFonts w:ascii="Arial" w:eastAsia="Times New Roman" w:hAnsi="Arial" w:cs="Arial"/>
                <w:color w:val="010205"/>
                <w:sz w:val="18"/>
                <w:szCs w:val="18"/>
                <w:lang w:eastAsia="cs-CZ"/>
              </w:rPr>
              <w:t>0,141</w:t>
            </w:r>
          </w:p>
        </w:tc>
      </w:tr>
      <w:tr w:rsidR="00740020" w:rsidRPr="0052406B" w:rsidTr="00740020">
        <w:trPr>
          <w:trHeight w:val="455"/>
        </w:trPr>
        <w:tc>
          <w:tcPr>
            <w:tcW w:w="6681" w:type="dxa"/>
            <w:tcBorders>
              <w:top w:val="nil"/>
              <w:left w:val="single" w:sz="4" w:space="0" w:color="auto"/>
              <w:bottom w:val="single" w:sz="4" w:space="0" w:color="152935"/>
              <w:right w:val="nil"/>
            </w:tcBorders>
            <w:shd w:val="clear" w:color="000000" w:fill="E0E0E0"/>
            <w:vAlign w:val="center"/>
            <w:hideMark/>
          </w:tcPr>
          <w:p w:rsidR="00740020" w:rsidRPr="0052406B" w:rsidRDefault="00740020" w:rsidP="00740020">
            <w:pPr>
              <w:spacing w:after="0" w:line="240" w:lineRule="auto"/>
              <w:jc w:val="left"/>
              <w:rPr>
                <w:rFonts w:ascii="Arial" w:eastAsia="Times New Roman" w:hAnsi="Arial" w:cs="Arial"/>
                <w:color w:val="264A60"/>
                <w:sz w:val="18"/>
                <w:szCs w:val="18"/>
                <w:lang w:eastAsia="cs-CZ"/>
              </w:rPr>
            </w:pPr>
            <w:r w:rsidRPr="0052406B">
              <w:rPr>
                <w:rFonts w:ascii="Arial" w:eastAsia="Times New Roman" w:hAnsi="Arial" w:cs="Arial"/>
                <w:color w:val="264A60"/>
                <w:sz w:val="18"/>
                <w:szCs w:val="18"/>
                <w:lang w:eastAsia="cs-CZ"/>
              </w:rPr>
              <w:t>Index IN05 * Intervaly aktivních a pasivních primárních NS PK</w:t>
            </w:r>
          </w:p>
        </w:tc>
        <w:tc>
          <w:tcPr>
            <w:tcW w:w="1853" w:type="dxa"/>
            <w:tcBorders>
              <w:top w:val="nil"/>
              <w:left w:val="nil"/>
              <w:bottom w:val="single" w:sz="4" w:space="0" w:color="152935"/>
              <w:right w:val="single" w:sz="4" w:space="0" w:color="auto"/>
            </w:tcBorders>
            <w:shd w:val="clear" w:color="auto" w:fill="auto"/>
            <w:noWrap/>
            <w:vAlign w:val="center"/>
            <w:hideMark/>
          </w:tcPr>
          <w:p w:rsidR="00740020" w:rsidRPr="0052406B" w:rsidRDefault="00740020" w:rsidP="00740020">
            <w:pPr>
              <w:spacing w:after="0" w:line="240" w:lineRule="auto"/>
              <w:jc w:val="center"/>
              <w:rPr>
                <w:rFonts w:ascii="Arial" w:eastAsia="Times New Roman" w:hAnsi="Arial" w:cs="Arial"/>
                <w:color w:val="010205"/>
                <w:sz w:val="18"/>
                <w:szCs w:val="18"/>
                <w:lang w:eastAsia="cs-CZ"/>
              </w:rPr>
            </w:pPr>
            <w:r w:rsidRPr="0052406B">
              <w:rPr>
                <w:rFonts w:ascii="Arial" w:eastAsia="Times New Roman" w:hAnsi="Arial" w:cs="Arial"/>
                <w:color w:val="010205"/>
                <w:sz w:val="18"/>
                <w:szCs w:val="18"/>
                <w:lang w:eastAsia="cs-CZ"/>
              </w:rPr>
              <w:t>0,544</w:t>
            </w:r>
          </w:p>
        </w:tc>
      </w:tr>
      <w:tr w:rsidR="00740020" w:rsidRPr="0052406B" w:rsidTr="00740020">
        <w:trPr>
          <w:trHeight w:val="297"/>
        </w:trPr>
        <w:tc>
          <w:tcPr>
            <w:tcW w:w="6681" w:type="dxa"/>
            <w:tcBorders>
              <w:top w:val="nil"/>
              <w:left w:val="single" w:sz="4" w:space="0" w:color="auto"/>
              <w:bottom w:val="single" w:sz="4" w:space="0" w:color="152935"/>
              <w:right w:val="nil"/>
            </w:tcBorders>
            <w:shd w:val="clear" w:color="000000" w:fill="E0E0E0"/>
            <w:vAlign w:val="center"/>
            <w:hideMark/>
          </w:tcPr>
          <w:p w:rsidR="00740020" w:rsidRPr="0052406B" w:rsidRDefault="00740020" w:rsidP="00740020">
            <w:pPr>
              <w:spacing w:after="0" w:line="240" w:lineRule="auto"/>
              <w:jc w:val="left"/>
              <w:rPr>
                <w:rFonts w:ascii="Arial" w:eastAsia="Times New Roman" w:hAnsi="Arial" w:cs="Arial"/>
                <w:color w:val="264A60"/>
                <w:sz w:val="18"/>
                <w:szCs w:val="18"/>
                <w:lang w:eastAsia="cs-CZ"/>
              </w:rPr>
            </w:pPr>
            <w:r w:rsidRPr="0052406B">
              <w:rPr>
                <w:rFonts w:ascii="Arial" w:eastAsia="Times New Roman" w:hAnsi="Arial" w:cs="Arial"/>
                <w:color w:val="264A60"/>
                <w:sz w:val="18"/>
                <w:szCs w:val="18"/>
                <w:lang w:eastAsia="cs-CZ"/>
              </w:rPr>
              <w:t>Index IN05 * Intervaly celkové zadluženosti</w:t>
            </w:r>
          </w:p>
        </w:tc>
        <w:tc>
          <w:tcPr>
            <w:tcW w:w="1853" w:type="dxa"/>
            <w:tcBorders>
              <w:top w:val="nil"/>
              <w:left w:val="nil"/>
              <w:bottom w:val="single" w:sz="4" w:space="0" w:color="152935"/>
              <w:right w:val="single" w:sz="4" w:space="0" w:color="auto"/>
            </w:tcBorders>
            <w:shd w:val="clear" w:color="auto" w:fill="auto"/>
            <w:noWrap/>
            <w:vAlign w:val="center"/>
            <w:hideMark/>
          </w:tcPr>
          <w:p w:rsidR="00740020" w:rsidRPr="0052406B" w:rsidRDefault="00740020" w:rsidP="00740020">
            <w:pPr>
              <w:spacing w:after="0" w:line="240" w:lineRule="auto"/>
              <w:jc w:val="center"/>
              <w:rPr>
                <w:rFonts w:ascii="Arial" w:eastAsia="Times New Roman" w:hAnsi="Arial" w:cs="Arial"/>
                <w:color w:val="010205"/>
                <w:sz w:val="18"/>
                <w:szCs w:val="18"/>
                <w:lang w:eastAsia="cs-CZ"/>
              </w:rPr>
            </w:pPr>
            <w:r w:rsidRPr="0052406B">
              <w:rPr>
                <w:rFonts w:ascii="Arial" w:eastAsia="Times New Roman" w:hAnsi="Arial" w:cs="Arial"/>
                <w:color w:val="010205"/>
                <w:sz w:val="18"/>
                <w:szCs w:val="18"/>
                <w:lang w:eastAsia="cs-CZ"/>
              </w:rPr>
              <w:t>0,625</w:t>
            </w:r>
          </w:p>
        </w:tc>
      </w:tr>
      <w:tr w:rsidR="00740020" w:rsidRPr="0052406B" w:rsidTr="00740020">
        <w:trPr>
          <w:trHeight w:val="455"/>
        </w:trPr>
        <w:tc>
          <w:tcPr>
            <w:tcW w:w="6681" w:type="dxa"/>
            <w:tcBorders>
              <w:top w:val="nil"/>
              <w:left w:val="single" w:sz="4" w:space="0" w:color="auto"/>
              <w:bottom w:val="single" w:sz="4" w:space="0" w:color="auto"/>
              <w:right w:val="nil"/>
            </w:tcBorders>
            <w:shd w:val="clear" w:color="000000" w:fill="E0E0E0"/>
            <w:vAlign w:val="center"/>
            <w:hideMark/>
          </w:tcPr>
          <w:p w:rsidR="00740020" w:rsidRPr="0052406B" w:rsidRDefault="00740020" w:rsidP="00740020">
            <w:pPr>
              <w:spacing w:after="0" w:line="240" w:lineRule="auto"/>
              <w:jc w:val="left"/>
              <w:rPr>
                <w:rFonts w:ascii="Arial" w:eastAsia="Times New Roman" w:hAnsi="Arial" w:cs="Arial"/>
                <w:color w:val="264A60"/>
                <w:sz w:val="18"/>
                <w:szCs w:val="18"/>
                <w:lang w:eastAsia="cs-CZ"/>
              </w:rPr>
            </w:pPr>
            <w:r w:rsidRPr="0052406B">
              <w:rPr>
                <w:rFonts w:ascii="Arial" w:eastAsia="Times New Roman" w:hAnsi="Arial" w:cs="Arial"/>
                <w:color w:val="264A60"/>
                <w:sz w:val="18"/>
                <w:szCs w:val="18"/>
                <w:lang w:eastAsia="cs-CZ"/>
              </w:rPr>
              <w:t>Index IN05 * Intervaly rentability aktiv – primární EBITDA</w:t>
            </w:r>
          </w:p>
        </w:tc>
        <w:tc>
          <w:tcPr>
            <w:tcW w:w="1853" w:type="dxa"/>
            <w:tcBorders>
              <w:top w:val="nil"/>
              <w:left w:val="nil"/>
              <w:bottom w:val="single" w:sz="4" w:space="0" w:color="auto"/>
              <w:right w:val="single" w:sz="4" w:space="0" w:color="auto"/>
            </w:tcBorders>
            <w:shd w:val="clear" w:color="auto" w:fill="auto"/>
            <w:noWrap/>
            <w:vAlign w:val="center"/>
            <w:hideMark/>
          </w:tcPr>
          <w:p w:rsidR="00740020" w:rsidRPr="0052406B" w:rsidRDefault="00740020" w:rsidP="00740020">
            <w:pPr>
              <w:spacing w:after="0" w:line="240" w:lineRule="auto"/>
              <w:jc w:val="center"/>
              <w:rPr>
                <w:rFonts w:ascii="Arial" w:eastAsia="Times New Roman" w:hAnsi="Arial" w:cs="Arial"/>
                <w:color w:val="010205"/>
                <w:sz w:val="18"/>
                <w:szCs w:val="18"/>
                <w:lang w:eastAsia="cs-CZ"/>
              </w:rPr>
            </w:pPr>
            <w:r w:rsidRPr="0052406B">
              <w:rPr>
                <w:rFonts w:ascii="Arial" w:eastAsia="Times New Roman" w:hAnsi="Arial" w:cs="Arial"/>
                <w:color w:val="010205"/>
                <w:sz w:val="18"/>
                <w:szCs w:val="18"/>
                <w:lang w:eastAsia="cs-CZ"/>
              </w:rPr>
              <w:t>0,707</w:t>
            </w:r>
          </w:p>
        </w:tc>
      </w:tr>
    </w:tbl>
    <w:p w:rsidR="00740020" w:rsidRDefault="00740020" w:rsidP="00740020">
      <w:pPr>
        <w:pStyle w:val="Bezmezer"/>
      </w:pPr>
    </w:p>
    <w:p w:rsidR="00B535EE" w:rsidRPr="00CF2403" w:rsidRDefault="00B535EE" w:rsidP="00740020">
      <w:pPr>
        <w:pStyle w:val="Bezmezer"/>
      </w:pPr>
    </w:p>
    <w:p w:rsidR="00740020" w:rsidRDefault="00740020" w:rsidP="00740020">
      <w:r>
        <w:t xml:space="preserve">Největší intenzita závislosti hodnoty ukazatele IN05 je ve vztahu k </w:t>
      </w:r>
      <w:r w:rsidRPr="004515CC">
        <w:rPr>
          <w:b/>
        </w:rPr>
        <w:t>intervalům rentability aktiv</w:t>
      </w:r>
      <w:r>
        <w:t xml:space="preserve"> (na bázi primární EBITDA), kterou následuje závislost ve vztahu k intervalům celkové zadluženosti. </w:t>
      </w:r>
      <w:r w:rsidRPr="00CC156C">
        <w:t>Na rentabilitu aktiv však zprostředkovaně působí primární EBITDA, takže lze konstatovat, že zjištěná nejvyšší intenzita závislosti je také v důsledku tohoto ukazatele</w:t>
      </w:r>
      <w:r>
        <w:t xml:space="preserve">. Naopak nejnižší intenzita závislosti je ve vztahu k intervalům podílu hotovosti na nutné hotovosti (tedy v podstatě k likviditě). U ostatních ukazatelů je patrná střední intenzita závislosti. Statistická významnost vztahů, které prezentuje </w:t>
      </w:r>
      <w:r w:rsidR="00163A91">
        <w:fldChar w:fldCharType="begin"/>
      </w:r>
      <w:r>
        <w:instrText xml:space="preserve"> REF _Ref528015867 \h </w:instrText>
      </w:r>
      <w:r w:rsidR="00163A91">
        <w:fldChar w:fldCharType="separate"/>
      </w:r>
      <w:r>
        <w:t xml:space="preserve">Tabulka </w:t>
      </w:r>
      <w:r>
        <w:rPr>
          <w:noProof/>
        </w:rPr>
        <w:t>15</w:t>
      </w:r>
      <w:r w:rsidR="00163A91">
        <w:fldChar w:fldCharType="end"/>
      </w:r>
      <w:r>
        <w:t>, byla testována pomocí neparametrického Kruskalova-Wallisova testu, neboť není splněna podmínka, aby ve skupinách podle kategorií vysvětlující proměnné byla kvantitativní proměnná z normálního rozdělení. Vyjma závislosti ve vztahu k intervalům podílu hotovosti na nutné hotovosti jsou všechny vztahy statisticky významné na hladině významnosti menší než jedno procento.</w:t>
      </w:r>
    </w:p>
    <w:p w:rsidR="00740020" w:rsidRDefault="00740020" w:rsidP="00740020">
      <w:bookmarkStart w:id="46" w:name="_Toc506149983"/>
      <w:r>
        <w:t>Další analýza ukazuje závislost „přechodu“ indexu IN05 do kategorie bankrotních podniků na polaritě jednotlivých vybraných ukazatelů pomocí poměru šancí, ukazuje tedy, kolikrát se zvýší šance, že index IN05 „přejde“ do bankrotové kategorie, jestliže se hodnota vysvětlující proměnné změní z referenční kategorie.</w:t>
      </w:r>
    </w:p>
    <w:p w:rsidR="00B535EE" w:rsidRDefault="00B535EE" w:rsidP="00740020"/>
    <w:p w:rsidR="00740020" w:rsidRDefault="00740020" w:rsidP="00740020">
      <w:pPr>
        <w:pStyle w:val="Titulek"/>
      </w:pPr>
      <w:bookmarkStart w:id="47" w:name="_Toc31054792"/>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16</w:t>
      </w:r>
      <w:r w:rsidR="00163A91">
        <w:rPr>
          <w:noProof/>
        </w:rPr>
        <w:fldChar w:fldCharType="end"/>
      </w:r>
      <w:r>
        <w:t xml:space="preserve"> – Závislost </w:t>
      </w:r>
      <w:r w:rsidRPr="005129B6">
        <w:t>přechodu</w:t>
      </w:r>
      <w:r>
        <w:t xml:space="preserve"> indexu IN05 do kategorie bankrotních podniků na změně polarity </w:t>
      </w:r>
      <w:bookmarkEnd w:id="46"/>
      <w:r>
        <w:t>ostatních ukazatelů</w:t>
      </w:r>
      <w:bookmarkEnd w:id="47"/>
    </w:p>
    <w:tbl>
      <w:tblPr>
        <w:tblW w:w="8469" w:type="dxa"/>
        <w:tblCellMar>
          <w:left w:w="70" w:type="dxa"/>
          <w:right w:w="70" w:type="dxa"/>
        </w:tblCellMar>
        <w:tblLook w:val="04A0"/>
      </w:tblPr>
      <w:tblGrid>
        <w:gridCol w:w="5222"/>
        <w:gridCol w:w="988"/>
        <w:gridCol w:w="1156"/>
        <w:gridCol w:w="1103"/>
      </w:tblGrid>
      <w:tr w:rsidR="00740020" w:rsidRPr="005E2949" w:rsidTr="00740020">
        <w:trPr>
          <w:trHeight w:val="275"/>
        </w:trPr>
        <w:tc>
          <w:tcPr>
            <w:tcW w:w="5222" w:type="dxa"/>
            <w:tcBorders>
              <w:top w:val="single" w:sz="4" w:space="0" w:color="auto"/>
              <w:left w:val="single" w:sz="4" w:space="0" w:color="auto"/>
              <w:bottom w:val="nil"/>
              <w:right w:val="nil"/>
            </w:tcBorders>
            <w:shd w:val="clear" w:color="auto" w:fill="auto"/>
            <w:vAlign w:val="center"/>
            <w:hideMark/>
          </w:tcPr>
          <w:p w:rsidR="00740020" w:rsidRPr="005E2949" w:rsidRDefault="00740020" w:rsidP="00740020">
            <w:pPr>
              <w:spacing w:after="0" w:line="240" w:lineRule="auto"/>
              <w:jc w:val="left"/>
              <w:rPr>
                <w:rFonts w:ascii="Arial" w:eastAsia="Times New Roman" w:hAnsi="Arial" w:cs="Arial"/>
                <w:color w:val="264A60"/>
                <w:sz w:val="18"/>
                <w:szCs w:val="18"/>
                <w:lang w:eastAsia="cs-CZ"/>
              </w:rPr>
            </w:pPr>
            <w:r w:rsidRPr="005E2949">
              <w:rPr>
                <w:rFonts w:ascii="Arial" w:eastAsia="Times New Roman" w:hAnsi="Arial" w:cs="Arial"/>
                <w:color w:val="264A60"/>
                <w:sz w:val="18"/>
                <w:szCs w:val="18"/>
                <w:lang w:eastAsia="cs-CZ"/>
              </w:rPr>
              <w:t> </w:t>
            </w:r>
            <w:r>
              <w:rPr>
                <w:rFonts w:ascii="Arial" w:eastAsia="Times New Roman" w:hAnsi="Arial" w:cs="Arial"/>
                <w:color w:val="264A60"/>
                <w:sz w:val="18"/>
                <w:szCs w:val="18"/>
                <w:lang w:eastAsia="cs-CZ"/>
              </w:rPr>
              <w:t>Ukazatel</w:t>
            </w:r>
          </w:p>
        </w:tc>
        <w:tc>
          <w:tcPr>
            <w:tcW w:w="988" w:type="dxa"/>
            <w:tcBorders>
              <w:top w:val="single" w:sz="4" w:space="0" w:color="auto"/>
              <w:left w:val="single" w:sz="4" w:space="0" w:color="auto"/>
              <w:bottom w:val="nil"/>
              <w:right w:val="nil"/>
            </w:tcBorders>
            <w:shd w:val="clear" w:color="auto" w:fill="auto"/>
            <w:vAlign w:val="center"/>
            <w:hideMark/>
          </w:tcPr>
          <w:p w:rsidR="00740020" w:rsidRPr="005E2949" w:rsidRDefault="00740020" w:rsidP="00740020">
            <w:pPr>
              <w:spacing w:after="0" w:line="240" w:lineRule="auto"/>
              <w:jc w:val="center"/>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Poměr šancí</w:t>
            </w:r>
          </w:p>
        </w:tc>
        <w:tc>
          <w:tcPr>
            <w:tcW w:w="22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0020" w:rsidRPr="005E2949" w:rsidRDefault="00740020" w:rsidP="00740020">
            <w:pPr>
              <w:spacing w:after="0" w:line="240" w:lineRule="auto"/>
              <w:jc w:val="center"/>
              <w:rPr>
                <w:rFonts w:ascii="Arial" w:eastAsia="Times New Roman" w:hAnsi="Arial" w:cs="Arial"/>
                <w:color w:val="264A60"/>
                <w:sz w:val="18"/>
                <w:szCs w:val="18"/>
                <w:lang w:eastAsia="cs-CZ"/>
              </w:rPr>
            </w:pPr>
            <w:r w:rsidRPr="005E2949">
              <w:rPr>
                <w:rFonts w:ascii="Arial" w:eastAsia="Times New Roman" w:hAnsi="Arial" w:cs="Arial"/>
                <w:color w:val="264A60"/>
                <w:sz w:val="18"/>
                <w:szCs w:val="18"/>
                <w:lang w:eastAsia="cs-CZ"/>
              </w:rPr>
              <w:t xml:space="preserve">95% </w:t>
            </w:r>
            <w:r>
              <w:rPr>
                <w:rFonts w:ascii="Arial" w:eastAsia="Times New Roman" w:hAnsi="Arial" w:cs="Arial"/>
                <w:color w:val="264A60"/>
                <w:sz w:val="18"/>
                <w:szCs w:val="18"/>
                <w:lang w:eastAsia="cs-CZ"/>
              </w:rPr>
              <w:t>Interval spolehlivosti</w:t>
            </w:r>
            <w:r w:rsidRPr="005E2949">
              <w:rPr>
                <w:rFonts w:ascii="Arial" w:eastAsia="Times New Roman" w:hAnsi="Arial" w:cs="Arial"/>
                <w:color w:val="264A60"/>
                <w:sz w:val="18"/>
                <w:szCs w:val="18"/>
                <w:lang w:eastAsia="cs-CZ"/>
              </w:rPr>
              <w:t> </w:t>
            </w:r>
          </w:p>
        </w:tc>
      </w:tr>
      <w:tr w:rsidR="00740020" w:rsidRPr="005E2949" w:rsidTr="00740020">
        <w:trPr>
          <w:trHeight w:val="70"/>
        </w:trPr>
        <w:tc>
          <w:tcPr>
            <w:tcW w:w="5222" w:type="dxa"/>
            <w:tcBorders>
              <w:top w:val="nil"/>
              <w:left w:val="single" w:sz="4" w:space="0" w:color="auto"/>
              <w:bottom w:val="single" w:sz="4" w:space="0" w:color="152935"/>
              <w:right w:val="nil"/>
            </w:tcBorders>
            <w:shd w:val="clear" w:color="auto" w:fill="auto"/>
            <w:vAlign w:val="center"/>
            <w:hideMark/>
          </w:tcPr>
          <w:p w:rsidR="00740020" w:rsidRPr="005E2949" w:rsidRDefault="00740020" w:rsidP="00740020">
            <w:pPr>
              <w:spacing w:after="0" w:line="240" w:lineRule="auto"/>
              <w:jc w:val="left"/>
              <w:rPr>
                <w:rFonts w:ascii="Arial" w:eastAsia="Times New Roman" w:hAnsi="Arial" w:cs="Arial"/>
                <w:color w:val="264A60"/>
                <w:sz w:val="18"/>
                <w:szCs w:val="18"/>
                <w:lang w:eastAsia="cs-CZ"/>
              </w:rPr>
            </w:pPr>
            <w:r w:rsidRPr="005E2949">
              <w:rPr>
                <w:rFonts w:ascii="Arial" w:eastAsia="Times New Roman" w:hAnsi="Arial" w:cs="Arial"/>
                <w:color w:val="264A60"/>
                <w:sz w:val="18"/>
                <w:szCs w:val="18"/>
                <w:lang w:eastAsia="cs-CZ"/>
              </w:rPr>
              <w:t> </w:t>
            </w:r>
          </w:p>
        </w:tc>
        <w:tc>
          <w:tcPr>
            <w:tcW w:w="988" w:type="dxa"/>
            <w:tcBorders>
              <w:top w:val="nil"/>
              <w:left w:val="single" w:sz="4" w:space="0" w:color="auto"/>
              <w:bottom w:val="single" w:sz="4" w:space="0" w:color="152935"/>
              <w:right w:val="nil"/>
            </w:tcBorders>
            <w:shd w:val="clear" w:color="auto" w:fill="auto"/>
            <w:vAlign w:val="center"/>
            <w:hideMark/>
          </w:tcPr>
          <w:p w:rsidR="00740020" w:rsidRPr="005E2949" w:rsidRDefault="00740020" w:rsidP="00740020">
            <w:pPr>
              <w:spacing w:after="0" w:line="240" w:lineRule="auto"/>
              <w:jc w:val="center"/>
              <w:rPr>
                <w:rFonts w:ascii="Arial" w:eastAsia="Times New Roman" w:hAnsi="Arial" w:cs="Arial"/>
                <w:color w:val="264A60"/>
                <w:sz w:val="18"/>
                <w:szCs w:val="18"/>
                <w:lang w:eastAsia="cs-CZ"/>
              </w:rPr>
            </w:pPr>
            <w:r w:rsidRPr="005E2949">
              <w:rPr>
                <w:rFonts w:ascii="Arial" w:eastAsia="Times New Roman" w:hAnsi="Arial" w:cs="Arial"/>
                <w:color w:val="264A60"/>
                <w:sz w:val="18"/>
                <w:szCs w:val="18"/>
                <w:lang w:eastAsia="cs-CZ"/>
              </w:rPr>
              <w:t> </w:t>
            </w:r>
          </w:p>
        </w:tc>
        <w:tc>
          <w:tcPr>
            <w:tcW w:w="1156" w:type="dxa"/>
            <w:tcBorders>
              <w:top w:val="nil"/>
              <w:left w:val="single" w:sz="4" w:space="0" w:color="auto"/>
              <w:bottom w:val="single" w:sz="4" w:space="0" w:color="152935"/>
              <w:right w:val="nil"/>
            </w:tcBorders>
            <w:shd w:val="clear" w:color="auto" w:fill="auto"/>
            <w:vAlign w:val="center"/>
            <w:hideMark/>
          </w:tcPr>
          <w:p w:rsidR="00740020" w:rsidRPr="005E2949" w:rsidRDefault="00740020" w:rsidP="00740020">
            <w:pPr>
              <w:spacing w:after="0" w:line="240" w:lineRule="auto"/>
              <w:jc w:val="center"/>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Dolní mez</w:t>
            </w:r>
          </w:p>
        </w:tc>
        <w:tc>
          <w:tcPr>
            <w:tcW w:w="1103" w:type="dxa"/>
            <w:tcBorders>
              <w:top w:val="nil"/>
              <w:left w:val="single" w:sz="4" w:space="0" w:color="E0E0E0"/>
              <w:bottom w:val="single" w:sz="4" w:space="0" w:color="152935"/>
              <w:right w:val="single" w:sz="4" w:space="0" w:color="auto"/>
            </w:tcBorders>
            <w:shd w:val="clear" w:color="auto" w:fill="auto"/>
            <w:vAlign w:val="center"/>
            <w:hideMark/>
          </w:tcPr>
          <w:p w:rsidR="00740020" w:rsidRPr="005E2949" w:rsidRDefault="00740020" w:rsidP="00740020">
            <w:pPr>
              <w:spacing w:after="0" w:line="240" w:lineRule="auto"/>
              <w:jc w:val="center"/>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Horní mez</w:t>
            </w:r>
          </w:p>
        </w:tc>
      </w:tr>
      <w:tr w:rsidR="00740020" w:rsidRPr="005E2949" w:rsidTr="00740020">
        <w:trPr>
          <w:trHeight w:val="323"/>
        </w:trPr>
        <w:tc>
          <w:tcPr>
            <w:tcW w:w="5222" w:type="dxa"/>
            <w:tcBorders>
              <w:top w:val="nil"/>
              <w:left w:val="single" w:sz="4" w:space="0" w:color="auto"/>
              <w:bottom w:val="single" w:sz="4" w:space="0" w:color="AEAEAE"/>
              <w:right w:val="nil"/>
            </w:tcBorders>
            <w:shd w:val="clear" w:color="000000" w:fill="E0E0E0"/>
            <w:vAlign w:val="center"/>
            <w:hideMark/>
          </w:tcPr>
          <w:p w:rsidR="00740020" w:rsidRPr="005E2949"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Polarita primární EBITDA</w:t>
            </w:r>
          </w:p>
        </w:tc>
        <w:tc>
          <w:tcPr>
            <w:tcW w:w="988" w:type="dxa"/>
            <w:tcBorders>
              <w:top w:val="nil"/>
              <w:left w:val="single" w:sz="4" w:space="0" w:color="auto"/>
              <w:bottom w:val="single" w:sz="4" w:space="0" w:color="AEAEAE"/>
              <w:right w:val="nil"/>
            </w:tcBorders>
            <w:shd w:val="clear" w:color="auto" w:fill="auto"/>
            <w:noWrap/>
            <w:vAlign w:val="center"/>
            <w:hideMark/>
          </w:tcPr>
          <w:p w:rsidR="00740020" w:rsidRPr="005E2949" w:rsidRDefault="00740020" w:rsidP="00740020">
            <w:pPr>
              <w:spacing w:after="0" w:line="240" w:lineRule="auto"/>
              <w:jc w:val="center"/>
              <w:rPr>
                <w:rFonts w:ascii="Arial" w:eastAsia="Times New Roman" w:hAnsi="Arial" w:cs="Arial"/>
                <w:color w:val="010205"/>
                <w:sz w:val="18"/>
                <w:szCs w:val="18"/>
                <w:lang w:eastAsia="cs-CZ"/>
              </w:rPr>
            </w:pPr>
            <w:r w:rsidRPr="005E2949">
              <w:rPr>
                <w:rFonts w:ascii="Arial" w:eastAsia="Times New Roman" w:hAnsi="Arial" w:cs="Arial"/>
                <w:color w:val="010205"/>
                <w:sz w:val="18"/>
                <w:szCs w:val="18"/>
                <w:lang w:eastAsia="cs-CZ"/>
              </w:rPr>
              <w:t>25,536</w:t>
            </w:r>
          </w:p>
        </w:tc>
        <w:tc>
          <w:tcPr>
            <w:tcW w:w="1156" w:type="dxa"/>
            <w:tcBorders>
              <w:top w:val="nil"/>
              <w:left w:val="single" w:sz="4" w:space="0" w:color="auto"/>
              <w:bottom w:val="single" w:sz="4" w:space="0" w:color="AEAEAE"/>
              <w:right w:val="nil"/>
            </w:tcBorders>
            <w:shd w:val="clear" w:color="auto" w:fill="auto"/>
            <w:noWrap/>
            <w:vAlign w:val="center"/>
            <w:hideMark/>
          </w:tcPr>
          <w:p w:rsidR="00740020" w:rsidRPr="005E2949" w:rsidRDefault="00740020" w:rsidP="00740020">
            <w:pPr>
              <w:spacing w:after="0" w:line="240" w:lineRule="auto"/>
              <w:jc w:val="center"/>
              <w:rPr>
                <w:rFonts w:ascii="Arial" w:eastAsia="Times New Roman" w:hAnsi="Arial" w:cs="Arial"/>
                <w:color w:val="010205"/>
                <w:sz w:val="18"/>
                <w:szCs w:val="18"/>
                <w:lang w:eastAsia="cs-CZ"/>
              </w:rPr>
            </w:pPr>
            <w:r w:rsidRPr="005E2949">
              <w:rPr>
                <w:rFonts w:ascii="Arial" w:eastAsia="Times New Roman" w:hAnsi="Arial" w:cs="Arial"/>
                <w:color w:val="010205"/>
                <w:sz w:val="18"/>
                <w:szCs w:val="18"/>
                <w:lang w:eastAsia="cs-CZ"/>
              </w:rPr>
              <w:t>3,177</w:t>
            </w:r>
          </w:p>
        </w:tc>
        <w:tc>
          <w:tcPr>
            <w:tcW w:w="1103" w:type="dxa"/>
            <w:tcBorders>
              <w:top w:val="nil"/>
              <w:left w:val="single" w:sz="4" w:space="0" w:color="E0E0E0"/>
              <w:bottom w:val="single" w:sz="4" w:space="0" w:color="AEAEAE"/>
              <w:right w:val="single" w:sz="4" w:space="0" w:color="auto"/>
            </w:tcBorders>
            <w:shd w:val="clear" w:color="auto" w:fill="auto"/>
            <w:noWrap/>
            <w:vAlign w:val="center"/>
            <w:hideMark/>
          </w:tcPr>
          <w:p w:rsidR="00740020" w:rsidRPr="005E2949" w:rsidRDefault="00740020" w:rsidP="00740020">
            <w:pPr>
              <w:spacing w:after="0" w:line="240" w:lineRule="auto"/>
              <w:jc w:val="center"/>
              <w:rPr>
                <w:rFonts w:ascii="Arial" w:eastAsia="Times New Roman" w:hAnsi="Arial" w:cs="Arial"/>
                <w:color w:val="010205"/>
                <w:sz w:val="18"/>
                <w:szCs w:val="18"/>
                <w:lang w:eastAsia="cs-CZ"/>
              </w:rPr>
            </w:pPr>
            <w:r w:rsidRPr="005E2949">
              <w:rPr>
                <w:rFonts w:ascii="Arial" w:eastAsia="Times New Roman" w:hAnsi="Arial" w:cs="Arial"/>
                <w:color w:val="010205"/>
                <w:sz w:val="18"/>
                <w:szCs w:val="18"/>
                <w:lang w:eastAsia="cs-CZ"/>
              </w:rPr>
              <w:t>205,265</w:t>
            </w:r>
          </w:p>
        </w:tc>
      </w:tr>
      <w:tr w:rsidR="00740020" w:rsidRPr="005E2949" w:rsidTr="00740020">
        <w:trPr>
          <w:trHeight w:val="323"/>
        </w:trPr>
        <w:tc>
          <w:tcPr>
            <w:tcW w:w="5222" w:type="dxa"/>
            <w:tcBorders>
              <w:top w:val="nil"/>
              <w:left w:val="single" w:sz="4" w:space="0" w:color="auto"/>
              <w:bottom w:val="single" w:sz="4" w:space="0" w:color="AEAEAE"/>
              <w:right w:val="nil"/>
            </w:tcBorders>
            <w:shd w:val="clear" w:color="000000" w:fill="E0E0E0"/>
            <w:hideMark/>
          </w:tcPr>
          <w:p w:rsidR="00740020" w:rsidRPr="005E2949"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Polarita deficitu nutné hotovosti</w:t>
            </w:r>
          </w:p>
        </w:tc>
        <w:tc>
          <w:tcPr>
            <w:tcW w:w="988" w:type="dxa"/>
            <w:tcBorders>
              <w:top w:val="nil"/>
              <w:left w:val="single" w:sz="4" w:space="0" w:color="auto"/>
              <w:bottom w:val="single" w:sz="4" w:space="0" w:color="AEAEAE"/>
              <w:right w:val="nil"/>
            </w:tcBorders>
            <w:shd w:val="clear" w:color="auto" w:fill="auto"/>
            <w:noWrap/>
            <w:vAlign w:val="center"/>
            <w:hideMark/>
          </w:tcPr>
          <w:p w:rsidR="00740020" w:rsidRPr="005E2949" w:rsidRDefault="00740020" w:rsidP="00740020">
            <w:pPr>
              <w:spacing w:after="0" w:line="240" w:lineRule="auto"/>
              <w:jc w:val="center"/>
              <w:rPr>
                <w:rFonts w:ascii="Arial" w:eastAsia="Times New Roman" w:hAnsi="Arial" w:cs="Arial"/>
                <w:color w:val="010205"/>
                <w:sz w:val="18"/>
                <w:szCs w:val="18"/>
                <w:lang w:eastAsia="cs-CZ"/>
              </w:rPr>
            </w:pPr>
            <w:r w:rsidRPr="005E2949">
              <w:rPr>
                <w:rFonts w:ascii="Arial" w:eastAsia="Times New Roman" w:hAnsi="Arial" w:cs="Arial"/>
                <w:color w:val="010205"/>
                <w:sz w:val="18"/>
                <w:szCs w:val="18"/>
                <w:lang w:eastAsia="cs-CZ"/>
              </w:rPr>
              <w:t>0,835</w:t>
            </w:r>
          </w:p>
        </w:tc>
        <w:tc>
          <w:tcPr>
            <w:tcW w:w="1156" w:type="dxa"/>
            <w:tcBorders>
              <w:top w:val="nil"/>
              <w:left w:val="single" w:sz="4" w:space="0" w:color="auto"/>
              <w:bottom w:val="single" w:sz="4" w:space="0" w:color="AEAEAE"/>
              <w:right w:val="nil"/>
            </w:tcBorders>
            <w:shd w:val="clear" w:color="auto" w:fill="auto"/>
            <w:noWrap/>
            <w:vAlign w:val="center"/>
            <w:hideMark/>
          </w:tcPr>
          <w:p w:rsidR="00740020" w:rsidRPr="005E2949" w:rsidRDefault="00740020" w:rsidP="00740020">
            <w:pPr>
              <w:spacing w:after="0" w:line="240" w:lineRule="auto"/>
              <w:jc w:val="center"/>
              <w:rPr>
                <w:rFonts w:ascii="Arial" w:eastAsia="Times New Roman" w:hAnsi="Arial" w:cs="Arial"/>
                <w:color w:val="010205"/>
                <w:sz w:val="18"/>
                <w:szCs w:val="18"/>
                <w:lang w:eastAsia="cs-CZ"/>
              </w:rPr>
            </w:pPr>
            <w:r w:rsidRPr="005E2949">
              <w:rPr>
                <w:rFonts w:ascii="Arial" w:eastAsia="Times New Roman" w:hAnsi="Arial" w:cs="Arial"/>
                <w:color w:val="010205"/>
                <w:sz w:val="18"/>
                <w:szCs w:val="18"/>
                <w:lang w:eastAsia="cs-CZ"/>
              </w:rPr>
              <w:t>0,095</w:t>
            </w:r>
          </w:p>
        </w:tc>
        <w:tc>
          <w:tcPr>
            <w:tcW w:w="1103" w:type="dxa"/>
            <w:tcBorders>
              <w:top w:val="nil"/>
              <w:left w:val="single" w:sz="4" w:space="0" w:color="E0E0E0"/>
              <w:bottom w:val="single" w:sz="4" w:space="0" w:color="AEAEAE"/>
              <w:right w:val="single" w:sz="4" w:space="0" w:color="auto"/>
            </w:tcBorders>
            <w:shd w:val="clear" w:color="auto" w:fill="auto"/>
            <w:noWrap/>
            <w:vAlign w:val="center"/>
            <w:hideMark/>
          </w:tcPr>
          <w:p w:rsidR="00740020" w:rsidRPr="005E2949" w:rsidRDefault="00740020" w:rsidP="00740020">
            <w:pPr>
              <w:spacing w:after="0" w:line="240" w:lineRule="auto"/>
              <w:jc w:val="center"/>
              <w:rPr>
                <w:rFonts w:ascii="Arial" w:eastAsia="Times New Roman" w:hAnsi="Arial" w:cs="Arial"/>
                <w:color w:val="010205"/>
                <w:sz w:val="18"/>
                <w:szCs w:val="18"/>
                <w:lang w:eastAsia="cs-CZ"/>
              </w:rPr>
            </w:pPr>
            <w:r w:rsidRPr="005E2949">
              <w:rPr>
                <w:rFonts w:ascii="Arial" w:eastAsia="Times New Roman" w:hAnsi="Arial" w:cs="Arial"/>
                <w:color w:val="010205"/>
                <w:sz w:val="18"/>
                <w:szCs w:val="18"/>
                <w:lang w:eastAsia="cs-CZ"/>
              </w:rPr>
              <w:t>7,361</w:t>
            </w:r>
          </w:p>
        </w:tc>
      </w:tr>
      <w:tr w:rsidR="00740020" w:rsidRPr="005E2949" w:rsidTr="00740020">
        <w:trPr>
          <w:trHeight w:val="323"/>
        </w:trPr>
        <w:tc>
          <w:tcPr>
            <w:tcW w:w="5222" w:type="dxa"/>
            <w:tcBorders>
              <w:top w:val="nil"/>
              <w:left w:val="single" w:sz="4" w:space="0" w:color="auto"/>
              <w:bottom w:val="single" w:sz="4" w:space="0" w:color="AEAEAE"/>
              <w:right w:val="nil"/>
            </w:tcBorders>
            <w:shd w:val="clear" w:color="000000" w:fill="E0E0E0"/>
            <w:vAlign w:val="center"/>
            <w:hideMark/>
          </w:tcPr>
          <w:p w:rsidR="00740020" w:rsidRPr="005E2949"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Polarita salda primárních NS PK</w:t>
            </w:r>
          </w:p>
        </w:tc>
        <w:tc>
          <w:tcPr>
            <w:tcW w:w="988" w:type="dxa"/>
            <w:tcBorders>
              <w:top w:val="nil"/>
              <w:left w:val="single" w:sz="4" w:space="0" w:color="auto"/>
              <w:bottom w:val="single" w:sz="4" w:space="0" w:color="AEAEAE"/>
              <w:right w:val="single" w:sz="4" w:space="0" w:color="auto"/>
            </w:tcBorders>
            <w:shd w:val="clear" w:color="auto" w:fill="auto"/>
            <w:noWrap/>
            <w:vAlign w:val="center"/>
            <w:hideMark/>
          </w:tcPr>
          <w:p w:rsidR="00740020" w:rsidRPr="005E2949" w:rsidRDefault="00740020" w:rsidP="00740020">
            <w:pPr>
              <w:spacing w:after="0" w:line="240" w:lineRule="auto"/>
              <w:jc w:val="center"/>
              <w:rPr>
                <w:rFonts w:ascii="Arial" w:eastAsia="Times New Roman" w:hAnsi="Arial" w:cs="Arial"/>
                <w:color w:val="010205"/>
                <w:sz w:val="18"/>
                <w:szCs w:val="18"/>
                <w:lang w:eastAsia="cs-CZ"/>
              </w:rPr>
            </w:pPr>
            <w:r w:rsidRPr="005E2949">
              <w:rPr>
                <w:rFonts w:ascii="Arial" w:eastAsia="Times New Roman" w:hAnsi="Arial" w:cs="Arial"/>
                <w:color w:val="010205"/>
                <w:sz w:val="18"/>
                <w:szCs w:val="18"/>
                <w:lang w:eastAsia="cs-CZ"/>
              </w:rPr>
              <w:t>2,326</w:t>
            </w:r>
          </w:p>
        </w:tc>
        <w:tc>
          <w:tcPr>
            <w:tcW w:w="1156" w:type="dxa"/>
            <w:tcBorders>
              <w:top w:val="nil"/>
              <w:left w:val="nil"/>
              <w:bottom w:val="single" w:sz="4" w:space="0" w:color="AEAEAE"/>
              <w:right w:val="nil"/>
            </w:tcBorders>
            <w:shd w:val="clear" w:color="auto" w:fill="auto"/>
            <w:noWrap/>
            <w:vAlign w:val="center"/>
            <w:hideMark/>
          </w:tcPr>
          <w:p w:rsidR="00740020" w:rsidRPr="005E2949" w:rsidRDefault="00740020" w:rsidP="00740020">
            <w:pPr>
              <w:spacing w:after="0" w:line="240" w:lineRule="auto"/>
              <w:jc w:val="center"/>
              <w:rPr>
                <w:rFonts w:ascii="Arial" w:eastAsia="Times New Roman" w:hAnsi="Arial" w:cs="Arial"/>
                <w:color w:val="010205"/>
                <w:sz w:val="18"/>
                <w:szCs w:val="18"/>
                <w:lang w:eastAsia="cs-CZ"/>
              </w:rPr>
            </w:pPr>
            <w:r w:rsidRPr="005E2949">
              <w:rPr>
                <w:rFonts w:ascii="Arial" w:eastAsia="Times New Roman" w:hAnsi="Arial" w:cs="Arial"/>
                <w:color w:val="010205"/>
                <w:sz w:val="18"/>
                <w:szCs w:val="18"/>
                <w:lang w:eastAsia="cs-CZ"/>
              </w:rPr>
              <w:t>0,675</w:t>
            </w:r>
          </w:p>
        </w:tc>
        <w:tc>
          <w:tcPr>
            <w:tcW w:w="1103" w:type="dxa"/>
            <w:tcBorders>
              <w:top w:val="nil"/>
              <w:left w:val="single" w:sz="4" w:space="0" w:color="E0E0E0"/>
              <w:bottom w:val="single" w:sz="4" w:space="0" w:color="AEAEAE"/>
              <w:right w:val="single" w:sz="4" w:space="0" w:color="auto"/>
            </w:tcBorders>
            <w:shd w:val="clear" w:color="auto" w:fill="auto"/>
            <w:noWrap/>
            <w:vAlign w:val="center"/>
            <w:hideMark/>
          </w:tcPr>
          <w:p w:rsidR="00740020" w:rsidRPr="005E2949" w:rsidRDefault="00740020" w:rsidP="00740020">
            <w:pPr>
              <w:spacing w:after="0" w:line="240" w:lineRule="auto"/>
              <w:jc w:val="center"/>
              <w:rPr>
                <w:rFonts w:ascii="Arial" w:eastAsia="Times New Roman" w:hAnsi="Arial" w:cs="Arial"/>
                <w:color w:val="010205"/>
                <w:sz w:val="18"/>
                <w:szCs w:val="18"/>
                <w:lang w:eastAsia="cs-CZ"/>
              </w:rPr>
            </w:pPr>
            <w:r w:rsidRPr="005E2949">
              <w:rPr>
                <w:rFonts w:ascii="Arial" w:eastAsia="Times New Roman" w:hAnsi="Arial" w:cs="Arial"/>
                <w:color w:val="010205"/>
                <w:sz w:val="18"/>
                <w:szCs w:val="18"/>
                <w:lang w:eastAsia="cs-CZ"/>
              </w:rPr>
              <w:t>8,011</w:t>
            </w:r>
          </w:p>
        </w:tc>
      </w:tr>
      <w:tr w:rsidR="00740020" w:rsidRPr="005E2949" w:rsidTr="00740020">
        <w:trPr>
          <w:trHeight w:val="323"/>
        </w:trPr>
        <w:tc>
          <w:tcPr>
            <w:tcW w:w="5222" w:type="dxa"/>
            <w:tcBorders>
              <w:top w:val="nil"/>
              <w:left w:val="single" w:sz="4" w:space="0" w:color="auto"/>
              <w:bottom w:val="single" w:sz="4" w:space="0" w:color="auto"/>
              <w:right w:val="nil"/>
            </w:tcBorders>
            <w:shd w:val="clear" w:color="000000" w:fill="E0E0E0"/>
            <w:vAlign w:val="center"/>
            <w:hideMark/>
          </w:tcPr>
          <w:p w:rsidR="00740020" w:rsidRPr="005E2949"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Polarita vlastního kapitálu</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740020" w:rsidRPr="005E2949" w:rsidRDefault="00740020" w:rsidP="00740020">
            <w:pPr>
              <w:spacing w:after="0" w:line="240" w:lineRule="auto"/>
              <w:jc w:val="center"/>
              <w:rPr>
                <w:rFonts w:ascii="Arial" w:eastAsia="Times New Roman" w:hAnsi="Arial" w:cs="Arial"/>
                <w:color w:val="010205"/>
                <w:sz w:val="18"/>
                <w:szCs w:val="18"/>
                <w:lang w:eastAsia="cs-CZ"/>
              </w:rPr>
            </w:pPr>
            <w:r w:rsidRPr="005E2949">
              <w:rPr>
                <w:rFonts w:ascii="Arial" w:eastAsia="Times New Roman" w:hAnsi="Arial" w:cs="Arial"/>
                <w:color w:val="010205"/>
                <w:sz w:val="18"/>
                <w:szCs w:val="18"/>
                <w:lang w:eastAsia="cs-CZ"/>
              </w:rPr>
              <w:t>1,580</w:t>
            </w:r>
          </w:p>
        </w:tc>
        <w:tc>
          <w:tcPr>
            <w:tcW w:w="1156" w:type="dxa"/>
            <w:tcBorders>
              <w:top w:val="nil"/>
              <w:left w:val="nil"/>
              <w:bottom w:val="single" w:sz="4" w:space="0" w:color="auto"/>
              <w:right w:val="nil"/>
            </w:tcBorders>
            <w:shd w:val="clear" w:color="auto" w:fill="auto"/>
            <w:noWrap/>
            <w:vAlign w:val="center"/>
            <w:hideMark/>
          </w:tcPr>
          <w:p w:rsidR="00740020" w:rsidRPr="005E2949" w:rsidRDefault="00740020" w:rsidP="00740020">
            <w:pPr>
              <w:spacing w:after="0" w:line="240" w:lineRule="auto"/>
              <w:jc w:val="center"/>
              <w:rPr>
                <w:rFonts w:ascii="Arial" w:eastAsia="Times New Roman" w:hAnsi="Arial" w:cs="Arial"/>
                <w:color w:val="010205"/>
                <w:sz w:val="18"/>
                <w:szCs w:val="18"/>
                <w:lang w:eastAsia="cs-CZ"/>
              </w:rPr>
            </w:pPr>
            <w:r w:rsidRPr="005E2949">
              <w:rPr>
                <w:rFonts w:ascii="Arial" w:eastAsia="Times New Roman" w:hAnsi="Arial" w:cs="Arial"/>
                <w:color w:val="010205"/>
                <w:sz w:val="18"/>
                <w:szCs w:val="18"/>
                <w:lang w:eastAsia="cs-CZ"/>
              </w:rPr>
              <w:t>0,406</w:t>
            </w:r>
          </w:p>
        </w:tc>
        <w:tc>
          <w:tcPr>
            <w:tcW w:w="1103" w:type="dxa"/>
            <w:tcBorders>
              <w:top w:val="nil"/>
              <w:left w:val="single" w:sz="4" w:space="0" w:color="E0E0E0"/>
              <w:bottom w:val="single" w:sz="4" w:space="0" w:color="auto"/>
              <w:right w:val="single" w:sz="4" w:space="0" w:color="auto"/>
            </w:tcBorders>
            <w:shd w:val="clear" w:color="auto" w:fill="auto"/>
            <w:noWrap/>
            <w:vAlign w:val="center"/>
            <w:hideMark/>
          </w:tcPr>
          <w:p w:rsidR="00740020" w:rsidRPr="005E2949" w:rsidRDefault="00740020" w:rsidP="00740020">
            <w:pPr>
              <w:spacing w:after="0" w:line="240" w:lineRule="auto"/>
              <w:jc w:val="center"/>
              <w:rPr>
                <w:rFonts w:ascii="Arial" w:eastAsia="Times New Roman" w:hAnsi="Arial" w:cs="Arial"/>
                <w:color w:val="010205"/>
                <w:sz w:val="18"/>
                <w:szCs w:val="18"/>
                <w:lang w:eastAsia="cs-CZ"/>
              </w:rPr>
            </w:pPr>
            <w:r w:rsidRPr="005E2949">
              <w:rPr>
                <w:rFonts w:ascii="Arial" w:eastAsia="Times New Roman" w:hAnsi="Arial" w:cs="Arial"/>
                <w:color w:val="010205"/>
                <w:sz w:val="18"/>
                <w:szCs w:val="18"/>
                <w:lang w:eastAsia="cs-CZ"/>
              </w:rPr>
              <w:t>6,158</w:t>
            </w:r>
          </w:p>
        </w:tc>
      </w:tr>
    </w:tbl>
    <w:p w:rsidR="00B535EE" w:rsidRPr="00CF2403" w:rsidRDefault="00B535EE" w:rsidP="00740020">
      <w:pPr>
        <w:pStyle w:val="Bezmezer"/>
      </w:pPr>
    </w:p>
    <w:p w:rsidR="00740020" w:rsidRDefault="00740020" w:rsidP="00740020">
      <w:bookmarkStart w:id="48" w:name="_Toc506149987"/>
      <w:r>
        <w:t xml:space="preserve">Z analýzy závislostí pomocí poměru šancí vyplynulo, že </w:t>
      </w:r>
      <w:r w:rsidRPr="009648F8">
        <w:rPr>
          <w:b/>
        </w:rPr>
        <w:t>zdaleka ne</w:t>
      </w:r>
      <w:r>
        <w:rPr>
          <w:b/>
        </w:rPr>
        <w:t>j</w:t>
      </w:r>
      <w:r w:rsidRPr="009648F8">
        <w:rPr>
          <w:b/>
        </w:rPr>
        <w:t>větší závislost polarity indexu IN05 ve smyslu přechodu z šedé zóny do zóny bankrotu je ve vztahu k polaritě ukazatele primární EBITDA</w:t>
      </w:r>
      <w:r>
        <w:t xml:space="preserve">, kde je poměr šance přechodu do bankrotní zóny při změně polarity primární EBITDA více než 25. Naopak, </w:t>
      </w:r>
      <w:r w:rsidRPr="009648F8">
        <w:rPr>
          <w:b/>
        </w:rPr>
        <w:t>nejmenší závislost je u polarity deficitu nutné hotovosti</w:t>
      </w:r>
      <w:r>
        <w:t>, kde je hodnota poměru šancí menší než jedna (0,84). U ostatních proměnných je pak poměr šancí větší než jedna, avšak závislost nenabývá takové intenzity jako u polarity ukazatele primární EBITDA. Velmi široký interval spolehlivosti sice snižuje přesnost odhadu, to však nic nemění na významu konkrétní proměnné v analyzovaném vztahu.</w:t>
      </w:r>
    </w:p>
    <w:p w:rsidR="00B535EE" w:rsidRDefault="00B535EE" w:rsidP="00740020"/>
    <w:p w:rsidR="00740020" w:rsidRDefault="00740020" w:rsidP="00B535EE">
      <w:pPr>
        <w:pStyle w:val="Nadpis3"/>
        <w:numPr>
          <w:ilvl w:val="2"/>
          <w:numId w:val="15"/>
        </w:numPr>
      </w:pPr>
      <w:bookmarkStart w:id="49" w:name="_Toc31054453"/>
      <w:bookmarkEnd w:id="48"/>
      <w:r>
        <w:t>Analýza indikátorů úpadku</w:t>
      </w:r>
      <w:bookmarkEnd w:id="49"/>
    </w:p>
    <w:p w:rsidR="00740020" w:rsidRDefault="00740020" w:rsidP="00740020">
      <w:r>
        <w:t>Jak již bylo dříve uvedeno, jako indikátory úpadků byly zvoleny ukazatele polarita nutné hotovosti a polarita vlastního kapitálu, které kopírují definici dle insolvenční zákona na základě platební neschopnosti nebo předlužení. Tyto ukazatele budou analyzovány nejen separátně, ale i ve vztahu k dalším indikátorům postihujícím ostatní aspekty finanční kondice podniku.</w:t>
      </w:r>
    </w:p>
    <w:p w:rsidR="00B535EE" w:rsidRDefault="00B535EE" w:rsidP="00740020"/>
    <w:p w:rsidR="00B535EE" w:rsidRDefault="00B535EE" w:rsidP="00740020"/>
    <w:p w:rsidR="00740020" w:rsidRDefault="00740020" w:rsidP="00740020">
      <w:pPr>
        <w:pStyle w:val="Titulek"/>
      </w:pPr>
      <w:bookmarkStart w:id="50" w:name="_Toc31054793"/>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17</w:t>
      </w:r>
      <w:r w:rsidR="00163A91">
        <w:rPr>
          <w:noProof/>
        </w:rPr>
        <w:fldChar w:fldCharType="end"/>
      </w:r>
      <w:r>
        <w:t xml:space="preserve"> – Absolutní a relativní četnost polarity nutné hotovosti</w:t>
      </w:r>
      <w:bookmarkEnd w:id="50"/>
    </w:p>
    <w:tbl>
      <w:tblPr>
        <w:tblW w:w="8505" w:type="dxa"/>
        <w:tblCellMar>
          <w:left w:w="70" w:type="dxa"/>
          <w:right w:w="70" w:type="dxa"/>
        </w:tblCellMar>
        <w:tblLook w:val="04A0"/>
      </w:tblPr>
      <w:tblGrid>
        <w:gridCol w:w="4495"/>
        <w:gridCol w:w="2005"/>
        <w:gridCol w:w="2005"/>
      </w:tblGrid>
      <w:tr w:rsidR="00740020" w:rsidRPr="009E2415" w:rsidTr="00740020">
        <w:trPr>
          <w:trHeight w:val="290"/>
        </w:trPr>
        <w:tc>
          <w:tcPr>
            <w:tcW w:w="5062" w:type="dxa"/>
            <w:tcBorders>
              <w:top w:val="single" w:sz="4" w:space="0" w:color="auto"/>
              <w:left w:val="single" w:sz="4" w:space="0" w:color="auto"/>
              <w:bottom w:val="single" w:sz="4" w:space="0" w:color="152935"/>
              <w:right w:val="nil"/>
            </w:tcBorders>
            <w:shd w:val="clear" w:color="auto" w:fill="auto"/>
            <w:vAlign w:val="center"/>
            <w:hideMark/>
          </w:tcPr>
          <w:p w:rsidR="00740020" w:rsidRPr="009E2415" w:rsidRDefault="00740020" w:rsidP="00740020">
            <w:pPr>
              <w:spacing w:after="0" w:line="240" w:lineRule="auto"/>
              <w:jc w:val="left"/>
              <w:rPr>
                <w:rFonts w:ascii="Arial" w:eastAsia="Times New Roman" w:hAnsi="Arial" w:cs="Arial"/>
                <w:color w:val="264A60"/>
                <w:sz w:val="18"/>
                <w:szCs w:val="18"/>
                <w:lang w:eastAsia="cs-CZ"/>
              </w:rPr>
            </w:pPr>
            <w:r w:rsidRPr="009E2415">
              <w:rPr>
                <w:rFonts w:ascii="Arial" w:eastAsia="Times New Roman" w:hAnsi="Arial" w:cs="Arial"/>
                <w:color w:val="264A60"/>
                <w:sz w:val="18"/>
                <w:szCs w:val="18"/>
                <w:lang w:eastAsia="cs-CZ"/>
              </w:rPr>
              <w:t> </w:t>
            </w:r>
          </w:p>
        </w:tc>
        <w:tc>
          <w:tcPr>
            <w:tcW w:w="2005" w:type="dxa"/>
            <w:tcBorders>
              <w:top w:val="single" w:sz="4" w:space="0" w:color="auto"/>
              <w:left w:val="single" w:sz="4" w:space="0" w:color="auto"/>
              <w:bottom w:val="single" w:sz="4" w:space="0" w:color="152935"/>
              <w:right w:val="single" w:sz="4" w:space="0" w:color="E0E0E0"/>
            </w:tcBorders>
            <w:shd w:val="clear" w:color="auto" w:fill="auto"/>
            <w:vAlign w:val="center"/>
            <w:hideMark/>
          </w:tcPr>
          <w:p w:rsidR="00740020" w:rsidRPr="009E2415" w:rsidRDefault="00740020" w:rsidP="00740020">
            <w:pPr>
              <w:spacing w:after="0" w:line="240" w:lineRule="auto"/>
              <w:jc w:val="center"/>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Absolutní četnost</w:t>
            </w:r>
          </w:p>
        </w:tc>
        <w:tc>
          <w:tcPr>
            <w:tcW w:w="2005" w:type="dxa"/>
            <w:tcBorders>
              <w:top w:val="single" w:sz="4" w:space="0" w:color="auto"/>
              <w:left w:val="nil"/>
              <w:bottom w:val="single" w:sz="4" w:space="0" w:color="152935"/>
              <w:right w:val="single" w:sz="4" w:space="0" w:color="auto"/>
            </w:tcBorders>
            <w:shd w:val="clear" w:color="auto" w:fill="auto"/>
            <w:vAlign w:val="center"/>
            <w:hideMark/>
          </w:tcPr>
          <w:p w:rsidR="00740020" w:rsidRPr="009E2415" w:rsidRDefault="00740020" w:rsidP="00740020">
            <w:pPr>
              <w:spacing w:after="0" w:line="240" w:lineRule="auto"/>
              <w:jc w:val="center"/>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Relativní četnost</w:t>
            </w:r>
          </w:p>
        </w:tc>
      </w:tr>
      <w:tr w:rsidR="00740020" w:rsidRPr="009E2415" w:rsidTr="00740020">
        <w:trPr>
          <w:trHeight w:val="299"/>
        </w:trPr>
        <w:tc>
          <w:tcPr>
            <w:tcW w:w="5062" w:type="dxa"/>
            <w:tcBorders>
              <w:top w:val="nil"/>
              <w:left w:val="single" w:sz="4" w:space="0" w:color="auto"/>
              <w:bottom w:val="single" w:sz="4" w:space="0" w:color="AEAEAE"/>
              <w:right w:val="nil"/>
            </w:tcBorders>
            <w:shd w:val="clear" w:color="000000" w:fill="E0E0E0"/>
            <w:vAlign w:val="center"/>
            <w:hideMark/>
          </w:tcPr>
          <w:p w:rsidR="00740020" w:rsidRPr="009E2415" w:rsidRDefault="00740020" w:rsidP="00740020">
            <w:pPr>
              <w:spacing w:after="0" w:line="240" w:lineRule="auto"/>
              <w:jc w:val="left"/>
              <w:rPr>
                <w:rFonts w:ascii="Arial" w:eastAsia="Times New Roman" w:hAnsi="Arial" w:cs="Arial"/>
                <w:color w:val="264A60"/>
                <w:sz w:val="18"/>
                <w:szCs w:val="18"/>
                <w:lang w:eastAsia="cs-CZ"/>
              </w:rPr>
            </w:pPr>
            <w:r w:rsidRPr="009E2415">
              <w:rPr>
                <w:rFonts w:ascii="Arial" w:eastAsia="Times New Roman" w:hAnsi="Arial" w:cs="Arial"/>
                <w:color w:val="264A60"/>
                <w:sz w:val="18"/>
                <w:szCs w:val="18"/>
                <w:lang w:eastAsia="cs-CZ"/>
              </w:rPr>
              <w:t>Přebytek nutné hotovosti</w:t>
            </w:r>
          </w:p>
        </w:tc>
        <w:tc>
          <w:tcPr>
            <w:tcW w:w="2005" w:type="dxa"/>
            <w:tcBorders>
              <w:top w:val="nil"/>
              <w:left w:val="single" w:sz="4" w:space="0" w:color="auto"/>
              <w:bottom w:val="single" w:sz="4" w:space="0" w:color="AEAEAE"/>
              <w:right w:val="single" w:sz="4" w:space="0" w:color="E0E0E0"/>
            </w:tcBorders>
            <w:shd w:val="clear" w:color="auto" w:fill="auto"/>
            <w:noWrap/>
            <w:vAlign w:val="center"/>
            <w:hideMark/>
          </w:tcPr>
          <w:p w:rsidR="00740020" w:rsidRPr="009E2415" w:rsidRDefault="00740020" w:rsidP="00740020">
            <w:pPr>
              <w:spacing w:after="0" w:line="240" w:lineRule="auto"/>
              <w:jc w:val="center"/>
              <w:rPr>
                <w:rFonts w:ascii="Arial" w:eastAsia="Times New Roman" w:hAnsi="Arial" w:cs="Arial"/>
                <w:color w:val="010205"/>
                <w:sz w:val="18"/>
                <w:szCs w:val="18"/>
                <w:lang w:eastAsia="cs-CZ"/>
              </w:rPr>
            </w:pPr>
            <w:r w:rsidRPr="009E2415">
              <w:rPr>
                <w:rFonts w:ascii="Arial" w:eastAsia="Times New Roman" w:hAnsi="Arial" w:cs="Arial"/>
                <w:color w:val="010205"/>
                <w:sz w:val="18"/>
                <w:szCs w:val="18"/>
                <w:lang w:eastAsia="cs-CZ"/>
              </w:rPr>
              <w:t>8</w:t>
            </w:r>
          </w:p>
        </w:tc>
        <w:tc>
          <w:tcPr>
            <w:tcW w:w="2005" w:type="dxa"/>
            <w:tcBorders>
              <w:top w:val="nil"/>
              <w:left w:val="nil"/>
              <w:bottom w:val="single" w:sz="4" w:space="0" w:color="AEAEAE"/>
              <w:right w:val="single" w:sz="4" w:space="0" w:color="auto"/>
            </w:tcBorders>
            <w:shd w:val="clear" w:color="auto" w:fill="auto"/>
            <w:noWrap/>
            <w:vAlign w:val="center"/>
            <w:hideMark/>
          </w:tcPr>
          <w:p w:rsidR="00740020" w:rsidRPr="009E2415" w:rsidRDefault="00740020" w:rsidP="00740020">
            <w:pPr>
              <w:spacing w:after="0" w:line="240" w:lineRule="auto"/>
              <w:jc w:val="center"/>
              <w:rPr>
                <w:rFonts w:ascii="Arial" w:eastAsia="Times New Roman" w:hAnsi="Arial" w:cs="Arial"/>
                <w:color w:val="010205"/>
                <w:sz w:val="18"/>
                <w:szCs w:val="18"/>
                <w:lang w:eastAsia="cs-CZ"/>
              </w:rPr>
            </w:pPr>
            <w:r w:rsidRPr="009E2415">
              <w:rPr>
                <w:rFonts w:ascii="Arial" w:eastAsia="Times New Roman" w:hAnsi="Arial" w:cs="Arial"/>
                <w:color w:val="010205"/>
                <w:sz w:val="18"/>
                <w:szCs w:val="18"/>
                <w:lang w:eastAsia="cs-CZ"/>
              </w:rPr>
              <w:t>8,2</w:t>
            </w:r>
            <w:r>
              <w:rPr>
                <w:rFonts w:ascii="Arial" w:eastAsia="Times New Roman" w:hAnsi="Arial" w:cs="Arial"/>
                <w:color w:val="010205"/>
                <w:sz w:val="18"/>
                <w:szCs w:val="18"/>
                <w:lang w:eastAsia="cs-CZ"/>
              </w:rPr>
              <w:t xml:space="preserve"> %</w:t>
            </w:r>
          </w:p>
        </w:tc>
      </w:tr>
      <w:tr w:rsidR="00740020" w:rsidRPr="009E2415" w:rsidTr="00740020">
        <w:trPr>
          <w:trHeight w:val="299"/>
        </w:trPr>
        <w:tc>
          <w:tcPr>
            <w:tcW w:w="5062" w:type="dxa"/>
            <w:tcBorders>
              <w:top w:val="nil"/>
              <w:left w:val="single" w:sz="4" w:space="0" w:color="auto"/>
              <w:bottom w:val="single" w:sz="4" w:space="0" w:color="AEAEAE"/>
              <w:right w:val="nil"/>
            </w:tcBorders>
            <w:shd w:val="clear" w:color="000000" w:fill="E0E0E0"/>
            <w:vAlign w:val="center"/>
            <w:hideMark/>
          </w:tcPr>
          <w:p w:rsidR="00740020" w:rsidRPr="009E2415" w:rsidRDefault="00740020" w:rsidP="00740020">
            <w:pPr>
              <w:spacing w:after="0" w:line="240" w:lineRule="auto"/>
              <w:jc w:val="left"/>
              <w:rPr>
                <w:rFonts w:ascii="Arial" w:eastAsia="Times New Roman" w:hAnsi="Arial" w:cs="Arial"/>
                <w:color w:val="264A60"/>
                <w:sz w:val="18"/>
                <w:szCs w:val="18"/>
                <w:lang w:eastAsia="cs-CZ"/>
              </w:rPr>
            </w:pPr>
            <w:r w:rsidRPr="009E2415">
              <w:rPr>
                <w:rFonts w:ascii="Arial" w:eastAsia="Times New Roman" w:hAnsi="Arial" w:cs="Arial"/>
                <w:color w:val="264A60"/>
                <w:sz w:val="18"/>
                <w:szCs w:val="18"/>
                <w:lang w:eastAsia="cs-CZ"/>
              </w:rPr>
              <w:t>Deficit nutné hotovosti</w:t>
            </w:r>
          </w:p>
        </w:tc>
        <w:tc>
          <w:tcPr>
            <w:tcW w:w="2005" w:type="dxa"/>
            <w:tcBorders>
              <w:top w:val="nil"/>
              <w:left w:val="single" w:sz="4" w:space="0" w:color="auto"/>
              <w:bottom w:val="single" w:sz="4" w:space="0" w:color="AEAEAE"/>
              <w:right w:val="single" w:sz="4" w:space="0" w:color="E0E0E0"/>
            </w:tcBorders>
            <w:shd w:val="clear" w:color="auto" w:fill="auto"/>
            <w:noWrap/>
            <w:vAlign w:val="center"/>
            <w:hideMark/>
          </w:tcPr>
          <w:p w:rsidR="00740020" w:rsidRPr="009E2415" w:rsidRDefault="00740020" w:rsidP="00740020">
            <w:pPr>
              <w:spacing w:after="0" w:line="240" w:lineRule="auto"/>
              <w:jc w:val="center"/>
              <w:rPr>
                <w:rFonts w:ascii="Arial" w:eastAsia="Times New Roman" w:hAnsi="Arial" w:cs="Arial"/>
                <w:color w:val="010205"/>
                <w:sz w:val="18"/>
                <w:szCs w:val="18"/>
                <w:lang w:eastAsia="cs-CZ"/>
              </w:rPr>
            </w:pPr>
            <w:r w:rsidRPr="009E2415">
              <w:rPr>
                <w:rFonts w:ascii="Arial" w:eastAsia="Times New Roman" w:hAnsi="Arial" w:cs="Arial"/>
                <w:color w:val="010205"/>
                <w:sz w:val="18"/>
                <w:szCs w:val="18"/>
                <w:lang w:eastAsia="cs-CZ"/>
              </w:rPr>
              <w:t>90</w:t>
            </w:r>
          </w:p>
        </w:tc>
        <w:tc>
          <w:tcPr>
            <w:tcW w:w="2005" w:type="dxa"/>
            <w:tcBorders>
              <w:top w:val="nil"/>
              <w:left w:val="nil"/>
              <w:bottom w:val="single" w:sz="4" w:space="0" w:color="AEAEAE"/>
              <w:right w:val="single" w:sz="4" w:space="0" w:color="auto"/>
            </w:tcBorders>
            <w:shd w:val="clear" w:color="auto" w:fill="auto"/>
            <w:noWrap/>
            <w:vAlign w:val="center"/>
            <w:hideMark/>
          </w:tcPr>
          <w:p w:rsidR="00740020" w:rsidRPr="00330C5A" w:rsidRDefault="00740020" w:rsidP="00740020">
            <w:pPr>
              <w:spacing w:after="0" w:line="240" w:lineRule="auto"/>
              <w:jc w:val="center"/>
              <w:rPr>
                <w:rFonts w:ascii="Arial" w:eastAsia="Times New Roman" w:hAnsi="Arial" w:cs="Arial"/>
                <w:b/>
                <w:color w:val="010205"/>
                <w:sz w:val="18"/>
                <w:szCs w:val="18"/>
                <w:lang w:eastAsia="cs-CZ"/>
              </w:rPr>
            </w:pPr>
            <w:r w:rsidRPr="00330C5A">
              <w:rPr>
                <w:rFonts w:ascii="Arial" w:eastAsia="Times New Roman" w:hAnsi="Arial" w:cs="Arial"/>
                <w:b/>
                <w:color w:val="010205"/>
                <w:sz w:val="18"/>
                <w:szCs w:val="18"/>
                <w:lang w:eastAsia="cs-CZ"/>
              </w:rPr>
              <w:t>91,8</w:t>
            </w:r>
            <w:r>
              <w:rPr>
                <w:rFonts w:ascii="Arial" w:eastAsia="Times New Roman" w:hAnsi="Arial" w:cs="Arial"/>
                <w:b/>
                <w:color w:val="010205"/>
                <w:sz w:val="18"/>
                <w:szCs w:val="18"/>
                <w:lang w:eastAsia="cs-CZ"/>
              </w:rPr>
              <w:t xml:space="preserve"> </w:t>
            </w:r>
            <w:r w:rsidRPr="00330C5A">
              <w:rPr>
                <w:rFonts w:ascii="Arial" w:eastAsia="Times New Roman" w:hAnsi="Arial" w:cs="Arial"/>
                <w:b/>
                <w:color w:val="010205"/>
                <w:sz w:val="18"/>
                <w:szCs w:val="18"/>
                <w:lang w:eastAsia="cs-CZ"/>
              </w:rPr>
              <w:t>%</w:t>
            </w:r>
          </w:p>
        </w:tc>
      </w:tr>
      <w:tr w:rsidR="00740020" w:rsidRPr="009E2415" w:rsidTr="00740020">
        <w:trPr>
          <w:trHeight w:val="170"/>
        </w:trPr>
        <w:tc>
          <w:tcPr>
            <w:tcW w:w="5062" w:type="dxa"/>
            <w:tcBorders>
              <w:top w:val="nil"/>
              <w:left w:val="single" w:sz="4" w:space="0" w:color="auto"/>
              <w:bottom w:val="single" w:sz="4" w:space="0" w:color="auto"/>
              <w:right w:val="nil"/>
            </w:tcBorders>
            <w:shd w:val="clear" w:color="000000" w:fill="E0E0E0"/>
            <w:vAlign w:val="center"/>
            <w:hideMark/>
          </w:tcPr>
          <w:p w:rsidR="00740020" w:rsidRPr="009E2415"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Celkem</w:t>
            </w:r>
          </w:p>
        </w:tc>
        <w:tc>
          <w:tcPr>
            <w:tcW w:w="2005" w:type="dxa"/>
            <w:tcBorders>
              <w:top w:val="nil"/>
              <w:left w:val="single" w:sz="4" w:space="0" w:color="auto"/>
              <w:bottom w:val="single" w:sz="4" w:space="0" w:color="auto"/>
              <w:right w:val="single" w:sz="4" w:space="0" w:color="E0E0E0"/>
            </w:tcBorders>
            <w:shd w:val="clear" w:color="auto" w:fill="auto"/>
            <w:noWrap/>
            <w:vAlign w:val="center"/>
            <w:hideMark/>
          </w:tcPr>
          <w:p w:rsidR="00740020" w:rsidRPr="009E2415" w:rsidRDefault="00740020" w:rsidP="00740020">
            <w:pPr>
              <w:spacing w:after="0" w:line="240" w:lineRule="auto"/>
              <w:jc w:val="center"/>
              <w:rPr>
                <w:rFonts w:ascii="Arial" w:eastAsia="Times New Roman" w:hAnsi="Arial" w:cs="Arial"/>
                <w:color w:val="010205"/>
                <w:sz w:val="18"/>
                <w:szCs w:val="18"/>
                <w:lang w:eastAsia="cs-CZ"/>
              </w:rPr>
            </w:pPr>
            <w:r w:rsidRPr="009E2415">
              <w:rPr>
                <w:rFonts w:ascii="Arial" w:eastAsia="Times New Roman" w:hAnsi="Arial" w:cs="Arial"/>
                <w:color w:val="010205"/>
                <w:sz w:val="18"/>
                <w:szCs w:val="18"/>
                <w:lang w:eastAsia="cs-CZ"/>
              </w:rPr>
              <w:t>98</w:t>
            </w:r>
          </w:p>
        </w:tc>
        <w:tc>
          <w:tcPr>
            <w:tcW w:w="2005" w:type="dxa"/>
            <w:tcBorders>
              <w:top w:val="nil"/>
              <w:left w:val="nil"/>
              <w:bottom w:val="single" w:sz="4" w:space="0" w:color="auto"/>
              <w:right w:val="single" w:sz="4" w:space="0" w:color="auto"/>
            </w:tcBorders>
            <w:shd w:val="clear" w:color="auto" w:fill="auto"/>
            <w:noWrap/>
            <w:vAlign w:val="center"/>
            <w:hideMark/>
          </w:tcPr>
          <w:p w:rsidR="00740020" w:rsidRPr="009E2415" w:rsidRDefault="00740020" w:rsidP="00740020">
            <w:pPr>
              <w:spacing w:after="0" w:line="240" w:lineRule="auto"/>
              <w:jc w:val="center"/>
              <w:rPr>
                <w:rFonts w:ascii="Arial" w:eastAsia="Times New Roman" w:hAnsi="Arial" w:cs="Arial"/>
                <w:color w:val="010205"/>
                <w:sz w:val="18"/>
                <w:szCs w:val="18"/>
                <w:lang w:eastAsia="cs-CZ"/>
              </w:rPr>
            </w:pPr>
            <w:r w:rsidRPr="009E2415">
              <w:rPr>
                <w:rFonts w:ascii="Arial" w:eastAsia="Times New Roman" w:hAnsi="Arial" w:cs="Arial"/>
                <w:color w:val="010205"/>
                <w:sz w:val="18"/>
                <w:szCs w:val="18"/>
                <w:lang w:eastAsia="cs-CZ"/>
              </w:rPr>
              <w:t>100,0</w:t>
            </w:r>
            <w:r>
              <w:rPr>
                <w:rFonts w:ascii="Arial" w:eastAsia="Times New Roman" w:hAnsi="Arial" w:cs="Arial"/>
                <w:color w:val="010205"/>
                <w:sz w:val="18"/>
                <w:szCs w:val="18"/>
                <w:lang w:eastAsia="cs-CZ"/>
              </w:rPr>
              <w:t xml:space="preserve"> %</w:t>
            </w:r>
          </w:p>
        </w:tc>
      </w:tr>
    </w:tbl>
    <w:p w:rsidR="00B535EE" w:rsidRDefault="00B535EE" w:rsidP="00740020"/>
    <w:p w:rsidR="00740020" w:rsidRDefault="00740020" w:rsidP="00740020">
      <w:r>
        <w:t xml:space="preserve">Jak plyne z analýzy, naprostá většina podniků vykazovala deficit nutné hotovosti, tedy jejich okamžitá (peněžní) likvidita nedosahovala požadované úrovně 15 %. </w:t>
      </w:r>
      <w:r w:rsidRPr="009E2415">
        <w:rPr>
          <w:b/>
        </w:rPr>
        <w:t>To indikuje u naprosté většiny podniků potenciální problémy s platební schopností</w:t>
      </w:r>
      <w:r>
        <w:t>.</w:t>
      </w:r>
    </w:p>
    <w:p w:rsidR="00B535EE" w:rsidRDefault="00B535EE" w:rsidP="00740020"/>
    <w:p w:rsidR="00740020" w:rsidRPr="00EC2D19" w:rsidRDefault="00740020" w:rsidP="00740020">
      <w:pPr>
        <w:pStyle w:val="Titulek"/>
      </w:pPr>
      <w:bookmarkStart w:id="51" w:name="_Toc31054794"/>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18</w:t>
      </w:r>
      <w:r w:rsidR="00163A91">
        <w:rPr>
          <w:noProof/>
        </w:rPr>
        <w:fldChar w:fldCharType="end"/>
      </w:r>
      <w:r>
        <w:t xml:space="preserve"> – Relativní četnosti polarity nutné hotovosti a ostatních ukazatelů</w:t>
      </w:r>
      <w:bookmarkEnd w:id="51"/>
    </w:p>
    <w:tbl>
      <w:tblPr>
        <w:tblW w:w="8505" w:type="dxa"/>
        <w:tblCellMar>
          <w:left w:w="70" w:type="dxa"/>
          <w:right w:w="70" w:type="dxa"/>
        </w:tblCellMar>
        <w:tblLook w:val="04A0"/>
      </w:tblPr>
      <w:tblGrid>
        <w:gridCol w:w="3113"/>
        <w:gridCol w:w="2334"/>
        <w:gridCol w:w="1529"/>
        <w:gridCol w:w="1529"/>
      </w:tblGrid>
      <w:tr w:rsidR="00740020" w:rsidRPr="00EC2D19" w:rsidTr="00740020">
        <w:trPr>
          <w:trHeight w:val="237"/>
        </w:trPr>
        <w:tc>
          <w:tcPr>
            <w:tcW w:w="6014" w:type="dxa"/>
            <w:gridSpan w:val="2"/>
            <w:tcBorders>
              <w:top w:val="single" w:sz="4" w:space="0" w:color="auto"/>
              <w:left w:val="single" w:sz="4" w:space="0" w:color="auto"/>
              <w:bottom w:val="single" w:sz="4" w:space="0" w:color="152935"/>
              <w:right w:val="nil"/>
            </w:tcBorders>
            <w:shd w:val="clear" w:color="auto" w:fill="auto"/>
            <w:vAlign w:val="center"/>
            <w:hideMark/>
          </w:tcPr>
          <w:p w:rsidR="00740020" w:rsidRPr="00EC2D19" w:rsidRDefault="00740020" w:rsidP="00740020">
            <w:pPr>
              <w:spacing w:after="0" w:line="240" w:lineRule="auto"/>
              <w:jc w:val="left"/>
              <w:rPr>
                <w:rFonts w:ascii="Arial" w:eastAsia="Times New Roman" w:hAnsi="Arial" w:cs="Arial"/>
                <w:color w:val="264A60"/>
                <w:sz w:val="18"/>
                <w:szCs w:val="18"/>
                <w:lang w:eastAsia="cs-CZ"/>
              </w:rPr>
            </w:pPr>
            <w:r w:rsidRPr="00EC2D19">
              <w:rPr>
                <w:rFonts w:ascii="Arial" w:eastAsia="Times New Roman" w:hAnsi="Arial" w:cs="Arial"/>
                <w:color w:val="264A60"/>
                <w:sz w:val="18"/>
                <w:szCs w:val="18"/>
                <w:lang w:eastAsia="cs-CZ"/>
              </w:rPr>
              <w:t> </w:t>
            </w:r>
          </w:p>
        </w:tc>
        <w:tc>
          <w:tcPr>
            <w:tcW w:w="1529" w:type="dxa"/>
            <w:tcBorders>
              <w:top w:val="single" w:sz="4" w:space="0" w:color="auto"/>
              <w:left w:val="single" w:sz="4" w:space="0" w:color="auto"/>
              <w:bottom w:val="single" w:sz="4" w:space="0" w:color="152935"/>
              <w:right w:val="nil"/>
            </w:tcBorders>
            <w:shd w:val="clear" w:color="auto" w:fill="auto"/>
            <w:vAlign w:val="center"/>
            <w:hideMark/>
          </w:tcPr>
          <w:p w:rsidR="00740020" w:rsidRPr="00EC2D19" w:rsidRDefault="00740020" w:rsidP="00740020">
            <w:pPr>
              <w:spacing w:after="0" w:line="240" w:lineRule="auto"/>
              <w:jc w:val="center"/>
              <w:rPr>
                <w:rFonts w:ascii="Arial" w:eastAsia="Times New Roman" w:hAnsi="Arial" w:cs="Arial"/>
                <w:color w:val="264A60"/>
                <w:sz w:val="18"/>
                <w:szCs w:val="18"/>
                <w:lang w:eastAsia="cs-CZ"/>
              </w:rPr>
            </w:pPr>
            <w:r w:rsidRPr="00EC2D19">
              <w:rPr>
                <w:rFonts w:ascii="Arial" w:eastAsia="Times New Roman" w:hAnsi="Arial" w:cs="Arial"/>
                <w:color w:val="264A60"/>
                <w:sz w:val="18"/>
                <w:szCs w:val="18"/>
                <w:lang w:eastAsia="cs-CZ"/>
              </w:rPr>
              <w:t xml:space="preserve">Přebytek nutné hotovosti </w:t>
            </w:r>
          </w:p>
        </w:tc>
        <w:tc>
          <w:tcPr>
            <w:tcW w:w="1529" w:type="dxa"/>
            <w:tcBorders>
              <w:top w:val="single" w:sz="4" w:space="0" w:color="auto"/>
              <w:left w:val="single" w:sz="4" w:space="0" w:color="E0E0E0"/>
              <w:bottom w:val="single" w:sz="4" w:space="0" w:color="152935"/>
              <w:right w:val="single" w:sz="4" w:space="0" w:color="auto"/>
            </w:tcBorders>
            <w:shd w:val="clear" w:color="auto" w:fill="auto"/>
            <w:vAlign w:val="center"/>
            <w:hideMark/>
          </w:tcPr>
          <w:p w:rsidR="00740020" w:rsidRPr="00EC2D19" w:rsidRDefault="00740020" w:rsidP="00740020">
            <w:pPr>
              <w:spacing w:after="0" w:line="240" w:lineRule="auto"/>
              <w:jc w:val="center"/>
              <w:rPr>
                <w:rFonts w:ascii="Arial" w:eastAsia="Times New Roman" w:hAnsi="Arial" w:cs="Arial"/>
                <w:color w:val="264A60"/>
                <w:sz w:val="18"/>
                <w:szCs w:val="18"/>
                <w:lang w:eastAsia="cs-CZ"/>
              </w:rPr>
            </w:pPr>
            <w:r w:rsidRPr="00EC2D19">
              <w:rPr>
                <w:rFonts w:ascii="Arial" w:eastAsia="Times New Roman" w:hAnsi="Arial" w:cs="Arial"/>
                <w:color w:val="264A60"/>
                <w:sz w:val="18"/>
                <w:szCs w:val="18"/>
                <w:lang w:eastAsia="cs-CZ"/>
              </w:rPr>
              <w:t xml:space="preserve">Deficit nutné hotovosti </w:t>
            </w:r>
          </w:p>
        </w:tc>
      </w:tr>
      <w:tr w:rsidR="00740020" w:rsidRPr="00EC2D19" w:rsidTr="00740020">
        <w:trPr>
          <w:trHeight w:val="237"/>
        </w:trPr>
        <w:tc>
          <w:tcPr>
            <w:tcW w:w="3438" w:type="dxa"/>
            <w:vMerge w:val="restart"/>
            <w:tcBorders>
              <w:top w:val="nil"/>
              <w:left w:val="single" w:sz="4" w:space="0" w:color="auto"/>
              <w:bottom w:val="single" w:sz="4" w:space="0" w:color="AEAEAE"/>
              <w:right w:val="nil"/>
            </w:tcBorders>
            <w:shd w:val="clear" w:color="000000" w:fill="E0E0E0"/>
            <w:vAlign w:val="center"/>
            <w:hideMark/>
          </w:tcPr>
          <w:p w:rsidR="00740020" w:rsidRPr="00EC2D19" w:rsidRDefault="00740020" w:rsidP="00740020">
            <w:pPr>
              <w:spacing w:after="0" w:line="240" w:lineRule="auto"/>
              <w:jc w:val="left"/>
              <w:rPr>
                <w:rFonts w:ascii="Arial" w:eastAsia="Times New Roman" w:hAnsi="Arial" w:cs="Arial"/>
                <w:b/>
                <w:bCs/>
                <w:color w:val="264A60"/>
                <w:sz w:val="18"/>
                <w:szCs w:val="18"/>
                <w:lang w:eastAsia="cs-CZ"/>
              </w:rPr>
            </w:pPr>
            <w:r w:rsidRPr="00EC2D19">
              <w:rPr>
                <w:rFonts w:ascii="Arial" w:eastAsia="Times New Roman" w:hAnsi="Arial" w:cs="Arial"/>
                <w:b/>
                <w:bCs/>
                <w:color w:val="264A60"/>
                <w:sz w:val="18"/>
                <w:szCs w:val="18"/>
                <w:lang w:eastAsia="cs-CZ"/>
              </w:rPr>
              <w:t>Polarita primární EBITDA</w:t>
            </w:r>
          </w:p>
        </w:tc>
        <w:tc>
          <w:tcPr>
            <w:tcW w:w="2576" w:type="dxa"/>
            <w:tcBorders>
              <w:top w:val="nil"/>
              <w:left w:val="nil"/>
              <w:bottom w:val="single" w:sz="4" w:space="0" w:color="AEAEAE"/>
              <w:right w:val="nil"/>
            </w:tcBorders>
            <w:shd w:val="clear" w:color="000000" w:fill="E0E0E0"/>
            <w:vAlign w:val="center"/>
            <w:hideMark/>
          </w:tcPr>
          <w:p w:rsidR="00740020" w:rsidRPr="00EC2D19" w:rsidRDefault="00740020" w:rsidP="00740020">
            <w:pPr>
              <w:spacing w:after="0" w:line="240" w:lineRule="auto"/>
              <w:jc w:val="left"/>
              <w:rPr>
                <w:rFonts w:ascii="Arial" w:eastAsia="Times New Roman" w:hAnsi="Arial" w:cs="Arial"/>
                <w:color w:val="264A60"/>
                <w:sz w:val="18"/>
                <w:szCs w:val="18"/>
                <w:lang w:eastAsia="cs-CZ"/>
              </w:rPr>
            </w:pPr>
            <w:r w:rsidRPr="00EC2D19">
              <w:rPr>
                <w:rFonts w:ascii="Arial" w:eastAsia="Times New Roman" w:hAnsi="Arial" w:cs="Arial"/>
                <w:color w:val="264A60"/>
                <w:sz w:val="18"/>
                <w:szCs w:val="18"/>
                <w:lang w:eastAsia="cs-CZ"/>
              </w:rPr>
              <w:t>Kladná primární EBITDA</w:t>
            </w:r>
          </w:p>
        </w:tc>
        <w:tc>
          <w:tcPr>
            <w:tcW w:w="1529" w:type="dxa"/>
            <w:tcBorders>
              <w:top w:val="nil"/>
              <w:left w:val="single" w:sz="4" w:space="0" w:color="auto"/>
              <w:bottom w:val="single" w:sz="4" w:space="0" w:color="AEAEAE"/>
              <w:right w:val="nil"/>
            </w:tcBorders>
            <w:shd w:val="clear" w:color="auto" w:fill="auto"/>
            <w:noWrap/>
            <w:vAlign w:val="center"/>
            <w:hideMark/>
          </w:tcPr>
          <w:p w:rsidR="00740020" w:rsidRPr="00112155" w:rsidRDefault="00740020" w:rsidP="00740020">
            <w:pPr>
              <w:spacing w:after="0" w:line="240" w:lineRule="auto"/>
              <w:jc w:val="center"/>
              <w:rPr>
                <w:rFonts w:ascii="Arial" w:eastAsia="Times New Roman" w:hAnsi="Arial" w:cs="Arial"/>
                <w:b/>
                <w:color w:val="010205"/>
                <w:sz w:val="18"/>
                <w:szCs w:val="18"/>
                <w:lang w:eastAsia="cs-CZ"/>
              </w:rPr>
            </w:pPr>
            <w:r w:rsidRPr="00112155">
              <w:rPr>
                <w:rFonts w:ascii="Arial" w:eastAsia="Times New Roman" w:hAnsi="Arial" w:cs="Arial"/>
                <w:b/>
                <w:color w:val="010205"/>
                <w:sz w:val="18"/>
                <w:szCs w:val="18"/>
                <w:lang w:eastAsia="cs-CZ"/>
              </w:rPr>
              <w:t>75,0</w:t>
            </w:r>
            <w:r>
              <w:rPr>
                <w:rFonts w:ascii="Arial" w:eastAsia="Times New Roman" w:hAnsi="Arial" w:cs="Arial"/>
                <w:b/>
                <w:color w:val="010205"/>
                <w:sz w:val="18"/>
                <w:szCs w:val="18"/>
                <w:lang w:eastAsia="cs-CZ"/>
              </w:rPr>
              <w:t xml:space="preserve"> </w:t>
            </w:r>
            <w:r w:rsidRPr="00112155">
              <w:rPr>
                <w:rFonts w:ascii="Arial" w:eastAsia="Times New Roman" w:hAnsi="Arial" w:cs="Arial"/>
                <w:b/>
                <w:color w:val="010205"/>
                <w:sz w:val="18"/>
                <w:szCs w:val="18"/>
                <w:lang w:eastAsia="cs-CZ"/>
              </w:rPr>
              <w:t>%</w:t>
            </w:r>
          </w:p>
        </w:tc>
        <w:tc>
          <w:tcPr>
            <w:tcW w:w="1529" w:type="dxa"/>
            <w:tcBorders>
              <w:top w:val="nil"/>
              <w:left w:val="single" w:sz="4" w:space="0" w:color="E0E0E0"/>
              <w:bottom w:val="single" w:sz="4" w:space="0" w:color="AEAEAE"/>
              <w:right w:val="single" w:sz="4" w:space="0" w:color="auto"/>
            </w:tcBorders>
            <w:shd w:val="clear" w:color="auto" w:fill="auto"/>
            <w:noWrap/>
            <w:vAlign w:val="center"/>
            <w:hideMark/>
          </w:tcPr>
          <w:p w:rsidR="00740020" w:rsidRPr="00EC2D19" w:rsidRDefault="00740020" w:rsidP="00740020">
            <w:pPr>
              <w:spacing w:after="0" w:line="240" w:lineRule="auto"/>
              <w:jc w:val="center"/>
              <w:rPr>
                <w:rFonts w:ascii="Arial" w:eastAsia="Times New Roman" w:hAnsi="Arial" w:cs="Arial"/>
                <w:color w:val="010205"/>
                <w:sz w:val="18"/>
                <w:szCs w:val="18"/>
                <w:lang w:eastAsia="cs-CZ"/>
              </w:rPr>
            </w:pPr>
            <w:r w:rsidRPr="00EC2D19">
              <w:rPr>
                <w:rFonts w:ascii="Arial" w:eastAsia="Times New Roman" w:hAnsi="Arial" w:cs="Arial"/>
                <w:color w:val="010205"/>
                <w:sz w:val="18"/>
                <w:szCs w:val="18"/>
                <w:lang w:eastAsia="cs-CZ"/>
              </w:rPr>
              <w:t>38,9</w:t>
            </w:r>
            <w:r>
              <w:rPr>
                <w:rFonts w:ascii="Arial" w:eastAsia="Times New Roman" w:hAnsi="Arial" w:cs="Arial"/>
                <w:color w:val="010205"/>
                <w:sz w:val="18"/>
                <w:szCs w:val="18"/>
                <w:lang w:eastAsia="cs-CZ"/>
              </w:rPr>
              <w:t xml:space="preserve"> </w:t>
            </w:r>
            <w:r w:rsidRPr="00EC2D19">
              <w:rPr>
                <w:rFonts w:ascii="Arial" w:eastAsia="Times New Roman" w:hAnsi="Arial" w:cs="Arial"/>
                <w:color w:val="010205"/>
                <w:sz w:val="18"/>
                <w:szCs w:val="18"/>
                <w:lang w:eastAsia="cs-CZ"/>
              </w:rPr>
              <w:t>%</w:t>
            </w:r>
          </w:p>
        </w:tc>
      </w:tr>
      <w:tr w:rsidR="00740020" w:rsidRPr="00EC2D19" w:rsidTr="00740020">
        <w:trPr>
          <w:trHeight w:val="356"/>
        </w:trPr>
        <w:tc>
          <w:tcPr>
            <w:tcW w:w="3438" w:type="dxa"/>
            <w:vMerge/>
            <w:tcBorders>
              <w:top w:val="nil"/>
              <w:left w:val="single" w:sz="4" w:space="0" w:color="auto"/>
              <w:bottom w:val="single" w:sz="4" w:space="0" w:color="AEAEAE"/>
              <w:right w:val="nil"/>
            </w:tcBorders>
            <w:vAlign w:val="center"/>
            <w:hideMark/>
          </w:tcPr>
          <w:p w:rsidR="00740020" w:rsidRPr="00EC2D19" w:rsidRDefault="00740020" w:rsidP="00740020">
            <w:pPr>
              <w:spacing w:after="0" w:line="240" w:lineRule="auto"/>
              <w:jc w:val="left"/>
              <w:rPr>
                <w:rFonts w:ascii="Arial" w:eastAsia="Times New Roman" w:hAnsi="Arial" w:cs="Arial"/>
                <w:b/>
                <w:bCs/>
                <w:color w:val="264A60"/>
                <w:sz w:val="18"/>
                <w:szCs w:val="18"/>
                <w:lang w:eastAsia="cs-CZ"/>
              </w:rPr>
            </w:pPr>
          </w:p>
        </w:tc>
        <w:tc>
          <w:tcPr>
            <w:tcW w:w="2576" w:type="dxa"/>
            <w:tcBorders>
              <w:top w:val="nil"/>
              <w:left w:val="nil"/>
              <w:bottom w:val="single" w:sz="4" w:space="0" w:color="AEAEAE"/>
              <w:right w:val="nil"/>
            </w:tcBorders>
            <w:shd w:val="clear" w:color="000000" w:fill="E0E0E0"/>
            <w:vAlign w:val="center"/>
            <w:hideMark/>
          </w:tcPr>
          <w:p w:rsidR="00740020" w:rsidRPr="00EC2D19" w:rsidRDefault="00740020" w:rsidP="00740020">
            <w:pPr>
              <w:spacing w:after="0" w:line="240" w:lineRule="auto"/>
              <w:jc w:val="left"/>
              <w:rPr>
                <w:rFonts w:ascii="Arial" w:eastAsia="Times New Roman" w:hAnsi="Arial" w:cs="Arial"/>
                <w:color w:val="264A60"/>
                <w:sz w:val="18"/>
                <w:szCs w:val="18"/>
                <w:lang w:eastAsia="cs-CZ"/>
              </w:rPr>
            </w:pPr>
            <w:r w:rsidRPr="00EC2D19">
              <w:rPr>
                <w:rFonts w:ascii="Arial" w:eastAsia="Times New Roman" w:hAnsi="Arial" w:cs="Arial"/>
                <w:color w:val="264A60"/>
                <w:sz w:val="18"/>
                <w:szCs w:val="18"/>
                <w:lang w:eastAsia="cs-CZ"/>
              </w:rPr>
              <w:t>Záporná primární EBITDA</w:t>
            </w:r>
          </w:p>
        </w:tc>
        <w:tc>
          <w:tcPr>
            <w:tcW w:w="1529" w:type="dxa"/>
            <w:tcBorders>
              <w:top w:val="nil"/>
              <w:left w:val="single" w:sz="4" w:space="0" w:color="auto"/>
              <w:bottom w:val="single" w:sz="4" w:space="0" w:color="AEAEAE"/>
              <w:right w:val="nil"/>
            </w:tcBorders>
            <w:shd w:val="clear" w:color="auto" w:fill="auto"/>
            <w:noWrap/>
            <w:vAlign w:val="center"/>
            <w:hideMark/>
          </w:tcPr>
          <w:p w:rsidR="00740020" w:rsidRPr="00EC2D19" w:rsidRDefault="00740020" w:rsidP="00740020">
            <w:pPr>
              <w:spacing w:after="0" w:line="240" w:lineRule="auto"/>
              <w:jc w:val="center"/>
              <w:rPr>
                <w:rFonts w:ascii="Arial" w:eastAsia="Times New Roman" w:hAnsi="Arial" w:cs="Arial"/>
                <w:color w:val="010205"/>
                <w:sz w:val="18"/>
                <w:szCs w:val="18"/>
                <w:lang w:eastAsia="cs-CZ"/>
              </w:rPr>
            </w:pPr>
            <w:r w:rsidRPr="00EC2D19">
              <w:rPr>
                <w:rFonts w:ascii="Arial" w:eastAsia="Times New Roman" w:hAnsi="Arial" w:cs="Arial"/>
                <w:color w:val="010205"/>
                <w:sz w:val="18"/>
                <w:szCs w:val="18"/>
                <w:lang w:eastAsia="cs-CZ"/>
              </w:rPr>
              <w:t>25,0</w:t>
            </w:r>
            <w:r>
              <w:rPr>
                <w:rFonts w:ascii="Arial" w:eastAsia="Times New Roman" w:hAnsi="Arial" w:cs="Arial"/>
                <w:color w:val="010205"/>
                <w:sz w:val="18"/>
                <w:szCs w:val="18"/>
                <w:lang w:eastAsia="cs-CZ"/>
              </w:rPr>
              <w:t xml:space="preserve"> </w:t>
            </w:r>
            <w:r w:rsidRPr="00EC2D19">
              <w:rPr>
                <w:rFonts w:ascii="Arial" w:eastAsia="Times New Roman" w:hAnsi="Arial" w:cs="Arial"/>
                <w:color w:val="010205"/>
                <w:sz w:val="18"/>
                <w:szCs w:val="18"/>
                <w:lang w:eastAsia="cs-CZ"/>
              </w:rPr>
              <w:t>%</w:t>
            </w:r>
          </w:p>
        </w:tc>
        <w:tc>
          <w:tcPr>
            <w:tcW w:w="1529" w:type="dxa"/>
            <w:tcBorders>
              <w:top w:val="nil"/>
              <w:left w:val="single" w:sz="4" w:space="0" w:color="E0E0E0"/>
              <w:bottom w:val="single" w:sz="4" w:space="0" w:color="AEAEAE"/>
              <w:right w:val="single" w:sz="4" w:space="0" w:color="auto"/>
            </w:tcBorders>
            <w:shd w:val="clear" w:color="auto" w:fill="auto"/>
            <w:noWrap/>
            <w:vAlign w:val="center"/>
            <w:hideMark/>
          </w:tcPr>
          <w:p w:rsidR="00740020" w:rsidRPr="00112155" w:rsidRDefault="00740020" w:rsidP="00740020">
            <w:pPr>
              <w:spacing w:after="0" w:line="240" w:lineRule="auto"/>
              <w:jc w:val="center"/>
              <w:rPr>
                <w:rFonts w:ascii="Arial" w:eastAsia="Times New Roman" w:hAnsi="Arial" w:cs="Arial"/>
                <w:b/>
                <w:color w:val="010205"/>
                <w:sz w:val="18"/>
                <w:szCs w:val="18"/>
                <w:lang w:eastAsia="cs-CZ"/>
              </w:rPr>
            </w:pPr>
            <w:r w:rsidRPr="00112155">
              <w:rPr>
                <w:rFonts w:ascii="Arial" w:eastAsia="Times New Roman" w:hAnsi="Arial" w:cs="Arial"/>
                <w:b/>
                <w:color w:val="010205"/>
                <w:sz w:val="18"/>
                <w:szCs w:val="18"/>
                <w:lang w:eastAsia="cs-CZ"/>
              </w:rPr>
              <w:t>61,1</w:t>
            </w:r>
            <w:r>
              <w:rPr>
                <w:rFonts w:ascii="Arial" w:eastAsia="Times New Roman" w:hAnsi="Arial" w:cs="Arial"/>
                <w:b/>
                <w:color w:val="010205"/>
                <w:sz w:val="18"/>
                <w:szCs w:val="18"/>
                <w:lang w:eastAsia="cs-CZ"/>
              </w:rPr>
              <w:t xml:space="preserve"> </w:t>
            </w:r>
            <w:r w:rsidRPr="00112155">
              <w:rPr>
                <w:rFonts w:ascii="Arial" w:eastAsia="Times New Roman" w:hAnsi="Arial" w:cs="Arial"/>
                <w:b/>
                <w:color w:val="010205"/>
                <w:sz w:val="18"/>
                <w:szCs w:val="18"/>
                <w:lang w:eastAsia="cs-CZ"/>
              </w:rPr>
              <w:t>%</w:t>
            </w:r>
          </w:p>
        </w:tc>
      </w:tr>
      <w:tr w:rsidR="00740020" w:rsidRPr="00EC2D19" w:rsidTr="00740020">
        <w:trPr>
          <w:trHeight w:val="237"/>
        </w:trPr>
        <w:tc>
          <w:tcPr>
            <w:tcW w:w="3438" w:type="dxa"/>
            <w:vMerge w:val="restart"/>
            <w:tcBorders>
              <w:top w:val="single" w:sz="4" w:space="0" w:color="152935"/>
              <w:left w:val="single" w:sz="4" w:space="0" w:color="auto"/>
              <w:bottom w:val="single" w:sz="4" w:space="0" w:color="AEAEAE"/>
              <w:right w:val="nil"/>
            </w:tcBorders>
            <w:shd w:val="clear" w:color="000000" w:fill="E0E0E0"/>
            <w:vAlign w:val="center"/>
            <w:hideMark/>
          </w:tcPr>
          <w:p w:rsidR="00740020" w:rsidRPr="00EC2D19" w:rsidRDefault="00740020" w:rsidP="00740020">
            <w:pPr>
              <w:spacing w:after="0" w:line="240" w:lineRule="auto"/>
              <w:jc w:val="left"/>
              <w:rPr>
                <w:rFonts w:ascii="Arial" w:eastAsia="Times New Roman" w:hAnsi="Arial" w:cs="Arial"/>
                <w:b/>
                <w:bCs/>
                <w:color w:val="264A60"/>
                <w:sz w:val="18"/>
                <w:szCs w:val="18"/>
                <w:lang w:eastAsia="cs-CZ"/>
              </w:rPr>
            </w:pPr>
            <w:r w:rsidRPr="00EC2D19">
              <w:rPr>
                <w:rFonts w:ascii="Arial" w:eastAsia="Times New Roman" w:hAnsi="Arial" w:cs="Arial"/>
                <w:b/>
                <w:bCs/>
                <w:color w:val="264A60"/>
                <w:sz w:val="18"/>
                <w:szCs w:val="18"/>
                <w:lang w:eastAsia="cs-CZ"/>
              </w:rPr>
              <w:t>Polarita salda primárních NS PK</w:t>
            </w:r>
          </w:p>
        </w:tc>
        <w:tc>
          <w:tcPr>
            <w:tcW w:w="2576" w:type="dxa"/>
            <w:tcBorders>
              <w:top w:val="single" w:sz="4" w:space="0" w:color="152935"/>
              <w:left w:val="nil"/>
              <w:bottom w:val="single" w:sz="4" w:space="0" w:color="AEAEAE"/>
              <w:right w:val="nil"/>
            </w:tcBorders>
            <w:shd w:val="clear" w:color="000000" w:fill="E0E0E0"/>
            <w:vAlign w:val="center"/>
            <w:hideMark/>
          </w:tcPr>
          <w:p w:rsidR="00740020" w:rsidRPr="00EC2D19" w:rsidRDefault="00740020" w:rsidP="00740020">
            <w:pPr>
              <w:spacing w:after="0" w:line="240" w:lineRule="auto"/>
              <w:jc w:val="left"/>
              <w:rPr>
                <w:rFonts w:ascii="Arial" w:eastAsia="Times New Roman" w:hAnsi="Arial" w:cs="Arial"/>
                <w:color w:val="264A60"/>
                <w:sz w:val="18"/>
                <w:szCs w:val="18"/>
                <w:lang w:eastAsia="cs-CZ"/>
              </w:rPr>
            </w:pPr>
            <w:r w:rsidRPr="00EC2D19">
              <w:rPr>
                <w:rFonts w:ascii="Arial" w:eastAsia="Times New Roman" w:hAnsi="Arial" w:cs="Arial"/>
                <w:color w:val="264A60"/>
                <w:sz w:val="18"/>
                <w:szCs w:val="18"/>
                <w:lang w:eastAsia="cs-CZ"/>
              </w:rPr>
              <w:t>Kladné primární NS PK</w:t>
            </w:r>
          </w:p>
        </w:tc>
        <w:tc>
          <w:tcPr>
            <w:tcW w:w="1529" w:type="dxa"/>
            <w:tcBorders>
              <w:top w:val="single" w:sz="4" w:space="0" w:color="152935"/>
              <w:left w:val="single" w:sz="4" w:space="0" w:color="auto"/>
              <w:bottom w:val="single" w:sz="4" w:space="0" w:color="AEAEAE"/>
              <w:right w:val="nil"/>
            </w:tcBorders>
            <w:shd w:val="clear" w:color="auto" w:fill="auto"/>
            <w:noWrap/>
            <w:vAlign w:val="center"/>
            <w:hideMark/>
          </w:tcPr>
          <w:p w:rsidR="00740020" w:rsidRPr="00112155" w:rsidRDefault="00740020" w:rsidP="00740020">
            <w:pPr>
              <w:spacing w:after="0" w:line="240" w:lineRule="auto"/>
              <w:jc w:val="center"/>
              <w:rPr>
                <w:rFonts w:ascii="Arial" w:eastAsia="Times New Roman" w:hAnsi="Arial" w:cs="Arial"/>
                <w:b/>
                <w:color w:val="010205"/>
                <w:sz w:val="18"/>
                <w:szCs w:val="18"/>
                <w:lang w:eastAsia="cs-CZ"/>
              </w:rPr>
            </w:pPr>
            <w:r w:rsidRPr="00112155">
              <w:rPr>
                <w:rFonts w:ascii="Arial" w:eastAsia="Times New Roman" w:hAnsi="Arial" w:cs="Arial"/>
                <w:b/>
                <w:color w:val="010205"/>
                <w:sz w:val="18"/>
                <w:szCs w:val="18"/>
                <w:lang w:eastAsia="cs-CZ"/>
              </w:rPr>
              <w:t>75,0</w:t>
            </w:r>
            <w:r>
              <w:rPr>
                <w:rFonts w:ascii="Arial" w:eastAsia="Times New Roman" w:hAnsi="Arial" w:cs="Arial"/>
                <w:b/>
                <w:color w:val="010205"/>
                <w:sz w:val="18"/>
                <w:szCs w:val="18"/>
                <w:lang w:eastAsia="cs-CZ"/>
              </w:rPr>
              <w:t xml:space="preserve"> </w:t>
            </w:r>
            <w:r w:rsidRPr="00112155">
              <w:rPr>
                <w:rFonts w:ascii="Arial" w:eastAsia="Times New Roman" w:hAnsi="Arial" w:cs="Arial"/>
                <w:b/>
                <w:color w:val="010205"/>
                <w:sz w:val="18"/>
                <w:szCs w:val="18"/>
                <w:lang w:eastAsia="cs-CZ"/>
              </w:rPr>
              <w:t>%</w:t>
            </w:r>
          </w:p>
        </w:tc>
        <w:tc>
          <w:tcPr>
            <w:tcW w:w="1529" w:type="dxa"/>
            <w:tcBorders>
              <w:top w:val="single" w:sz="4" w:space="0" w:color="152935"/>
              <w:left w:val="single" w:sz="4" w:space="0" w:color="E0E0E0"/>
              <w:bottom w:val="single" w:sz="4" w:space="0" w:color="AEAEAE"/>
              <w:right w:val="single" w:sz="4" w:space="0" w:color="auto"/>
            </w:tcBorders>
            <w:shd w:val="clear" w:color="auto" w:fill="auto"/>
            <w:noWrap/>
            <w:vAlign w:val="center"/>
            <w:hideMark/>
          </w:tcPr>
          <w:p w:rsidR="00740020" w:rsidRPr="00112155" w:rsidRDefault="00740020" w:rsidP="00740020">
            <w:pPr>
              <w:spacing w:after="0" w:line="240" w:lineRule="auto"/>
              <w:jc w:val="center"/>
              <w:rPr>
                <w:rFonts w:ascii="Arial" w:eastAsia="Times New Roman" w:hAnsi="Arial" w:cs="Arial"/>
                <w:b/>
                <w:color w:val="010205"/>
                <w:sz w:val="18"/>
                <w:szCs w:val="18"/>
                <w:lang w:eastAsia="cs-CZ"/>
              </w:rPr>
            </w:pPr>
            <w:r w:rsidRPr="00112155">
              <w:rPr>
                <w:rFonts w:ascii="Arial" w:eastAsia="Times New Roman" w:hAnsi="Arial" w:cs="Arial"/>
                <w:b/>
                <w:color w:val="010205"/>
                <w:sz w:val="18"/>
                <w:szCs w:val="18"/>
                <w:lang w:eastAsia="cs-CZ"/>
              </w:rPr>
              <w:t>53,3</w:t>
            </w:r>
            <w:r>
              <w:rPr>
                <w:rFonts w:ascii="Arial" w:eastAsia="Times New Roman" w:hAnsi="Arial" w:cs="Arial"/>
                <w:b/>
                <w:color w:val="010205"/>
                <w:sz w:val="18"/>
                <w:szCs w:val="18"/>
                <w:lang w:eastAsia="cs-CZ"/>
              </w:rPr>
              <w:t xml:space="preserve"> </w:t>
            </w:r>
            <w:r w:rsidRPr="00112155">
              <w:rPr>
                <w:rFonts w:ascii="Arial" w:eastAsia="Times New Roman" w:hAnsi="Arial" w:cs="Arial"/>
                <w:b/>
                <w:color w:val="010205"/>
                <w:sz w:val="18"/>
                <w:szCs w:val="18"/>
                <w:lang w:eastAsia="cs-CZ"/>
              </w:rPr>
              <w:t>%</w:t>
            </w:r>
          </w:p>
        </w:tc>
      </w:tr>
      <w:tr w:rsidR="00740020" w:rsidRPr="00EC2D19" w:rsidTr="00740020">
        <w:trPr>
          <w:trHeight w:val="237"/>
        </w:trPr>
        <w:tc>
          <w:tcPr>
            <w:tcW w:w="3438" w:type="dxa"/>
            <w:vMerge/>
            <w:tcBorders>
              <w:top w:val="single" w:sz="4" w:space="0" w:color="152935"/>
              <w:left w:val="single" w:sz="4" w:space="0" w:color="auto"/>
              <w:bottom w:val="single" w:sz="4" w:space="0" w:color="AEAEAE"/>
              <w:right w:val="nil"/>
            </w:tcBorders>
            <w:vAlign w:val="center"/>
            <w:hideMark/>
          </w:tcPr>
          <w:p w:rsidR="00740020" w:rsidRPr="00EC2D19" w:rsidRDefault="00740020" w:rsidP="00740020">
            <w:pPr>
              <w:spacing w:after="0" w:line="240" w:lineRule="auto"/>
              <w:jc w:val="left"/>
              <w:rPr>
                <w:rFonts w:ascii="Arial" w:eastAsia="Times New Roman" w:hAnsi="Arial" w:cs="Arial"/>
                <w:b/>
                <w:bCs/>
                <w:color w:val="264A60"/>
                <w:sz w:val="18"/>
                <w:szCs w:val="18"/>
                <w:lang w:eastAsia="cs-CZ"/>
              </w:rPr>
            </w:pPr>
          </w:p>
        </w:tc>
        <w:tc>
          <w:tcPr>
            <w:tcW w:w="2576" w:type="dxa"/>
            <w:tcBorders>
              <w:top w:val="nil"/>
              <w:left w:val="nil"/>
              <w:bottom w:val="single" w:sz="4" w:space="0" w:color="AEAEAE"/>
              <w:right w:val="nil"/>
            </w:tcBorders>
            <w:shd w:val="clear" w:color="000000" w:fill="E0E0E0"/>
            <w:vAlign w:val="center"/>
            <w:hideMark/>
          </w:tcPr>
          <w:p w:rsidR="00740020" w:rsidRPr="00EC2D19" w:rsidRDefault="00740020" w:rsidP="00740020">
            <w:pPr>
              <w:spacing w:after="0" w:line="240" w:lineRule="auto"/>
              <w:jc w:val="left"/>
              <w:rPr>
                <w:rFonts w:ascii="Arial" w:eastAsia="Times New Roman" w:hAnsi="Arial" w:cs="Arial"/>
                <w:color w:val="264A60"/>
                <w:sz w:val="18"/>
                <w:szCs w:val="18"/>
                <w:lang w:eastAsia="cs-CZ"/>
              </w:rPr>
            </w:pPr>
            <w:r w:rsidRPr="00EC2D19">
              <w:rPr>
                <w:rFonts w:ascii="Arial" w:eastAsia="Times New Roman" w:hAnsi="Arial" w:cs="Arial"/>
                <w:color w:val="264A60"/>
                <w:sz w:val="18"/>
                <w:szCs w:val="18"/>
                <w:lang w:eastAsia="cs-CZ"/>
              </w:rPr>
              <w:t>Záporné primární NS PK</w:t>
            </w:r>
          </w:p>
        </w:tc>
        <w:tc>
          <w:tcPr>
            <w:tcW w:w="1529" w:type="dxa"/>
            <w:tcBorders>
              <w:top w:val="nil"/>
              <w:left w:val="single" w:sz="4" w:space="0" w:color="auto"/>
              <w:bottom w:val="single" w:sz="4" w:space="0" w:color="AEAEAE"/>
              <w:right w:val="nil"/>
            </w:tcBorders>
            <w:shd w:val="clear" w:color="auto" w:fill="auto"/>
            <w:noWrap/>
            <w:vAlign w:val="center"/>
            <w:hideMark/>
          </w:tcPr>
          <w:p w:rsidR="00740020" w:rsidRPr="00EC2D19" w:rsidRDefault="00740020" w:rsidP="00740020">
            <w:pPr>
              <w:spacing w:after="0" w:line="240" w:lineRule="auto"/>
              <w:jc w:val="center"/>
              <w:rPr>
                <w:rFonts w:ascii="Arial" w:eastAsia="Times New Roman" w:hAnsi="Arial" w:cs="Arial"/>
                <w:color w:val="010205"/>
                <w:sz w:val="18"/>
                <w:szCs w:val="18"/>
                <w:lang w:eastAsia="cs-CZ"/>
              </w:rPr>
            </w:pPr>
            <w:r w:rsidRPr="00EC2D19">
              <w:rPr>
                <w:rFonts w:ascii="Arial" w:eastAsia="Times New Roman" w:hAnsi="Arial" w:cs="Arial"/>
                <w:color w:val="010205"/>
                <w:sz w:val="18"/>
                <w:szCs w:val="18"/>
                <w:lang w:eastAsia="cs-CZ"/>
              </w:rPr>
              <w:t>25,0</w:t>
            </w:r>
            <w:r>
              <w:rPr>
                <w:rFonts w:ascii="Arial" w:eastAsia="Times New Roman" w:hAnsi="Arial" w:cs="Arial"/>
                <w:color w:val="010205"/>
                <w:sz w:val="18"/>
                <w:szCs w:val="18"/>
                <w:lang w:eastAsia="cs-CZ"/>
              </w:rPr>
              <w:t xml:space="preserve"> </w:t>
            </w:r>
            <w:r w:rsidRPr="00EC2D19">
              <w:rPr>
                <w:rFonts w:ascii="Arial" w:eastAsia="Times New Roman" w:hAnsi="Arial" w:cs="Arial"/>
                <w:color w:val="010205"/>
                <w:sz w:val="18"/>
                <w:szCs w:val="18"/>
                <w:lang w:eastAsia="cs-CZ"/>
              </w:rPr>
              <w:t>%</w:t>
            </w:r>
          </w:p>
        </w:tc>
        <w:tc>
          <w:tcPr>
            <w:tcW w:w="1529" w:type="dxa"/>
            <w:tcBorders>
              <w:top w:val="nil"/>
              <w:left w:val="single" w:sz="4" w:space="0" w:color="E0E0E0"/>
              <w:bottom w:val="single" w:sz="4" w:space="0" w:color="AEAEAE"/>
              <w:right w:val="single" w:sz="4" w:space="0" w:color="auto"/>
            </w:tcBorders>
            <w:shd w:val="clear" w:color="auto" w:fill="auto"/>
            <w:noWrap/>
            <w:vAlign w:val="center"/>
            <w:hideMark/>
          </w:tcPr>
          <w:p w:rsidR="00740020" w:rsidRPr="00EC2D19" w:rsidRDefault="00740020" w:rsidP="00740020">
            <w:pPr>
              <w:spacing w:after="0" w:line="240" w:lineRule="auto"/>
              <w:jc w:val="center"/>
              <w:rPr>
                <w:rFonts w:ascii="Arial" w:eastAsia="Times New Roman" w:hAnsi="Arial" w:cs="Arial"/>
                <w:color w:val="010205"/>
                <w:sz w:val="18"/>
                <w:szCs w:val="18"/>
                <w:lang w:eastAsia="cs-CZ"/>
              </w:rPr>
            </w:pPr>
            <w:r w:rsidRPr="00EC2D19">
              <w:rPr>
                <w:rFonts w:ascii="Arial" w:eastAsia="Times New Roman" w:hAnsi="Arial" w:cs="Arial"/>
                <w:color w:val="010205"/>
                <w:sz w:val="18"/>
                <w:szCs w:val="18"/>
                <w:lang w:eastAsia="cs-CZ"/>
              </w:rPr>
              <w:t>46,7</w:t>
            </w:r>
            <w:r>
              <w:rPr>
                <w:rFonts w:ascii="Arial" w:eastAsia="Times New Roman" w:hAnsi="Arial" w:cs="Arial"/>
                <w:color w:val="010205"/>
                <w:sz w:val="18"/>
                <w:szCs w:val="18"/>
                <w:lang w:eastAsia="cs-CZ"/>
              </w:rPr>
              <w:t xml:space="preserve"> </w:t>
            </w:r>
            <w:r w:rsidRPr="00EC2D19">
              <w:rPr>
                <w:rFonts w:ascii="Arial" w:eastAsia="Times New Roman" w:hAnsi="Arial" w:cs="Arial"/>
                <w:color w:val="010205"/>
                <w:sz w:val="18"/>
                <w:szCs w:val="18"/>
                <w:lang w:eastAsia="cs-CZ"/>
              </w:rPr>
              <w:t>%</w:t>
            </w:r>
          </w:p>
        </w:tc>
      </w:tr>
      <w:tr w:rsidR="00740020" w:rsidRPr="00EC2D19" w:rsidTr="00740020">
        <w:trPr>
          <w:trHeight w:val="256"/>
        </w:trPr>
        <w:tc>
          <w:tcPr>
            <w:tcW w:w="3438" w:type="dxa"/>
            <w:vMerge w:val="restart"/>
            <w:tcBorders>
              <w:top w:val="single" w:sz="4" w:space="0" w:color="152935"/>
              <w:left w:val="single" w:sz="4" w:space="0" w:color="auto"/>
              <w:bottom w:val="single" w:sz="4" w:space="0" w:color="000000"/>
              <w:right w:val="nil"/>
            </w:tcBorders>
            <w:shd w:val="clear" w:color="000000" w:fill="E0E0E0"/>
            <w:vAlign w:val="center"/>
            <w:hideMark/>
          </w:tcPr>
          <w:p w:rsidR="00740020" w:rsidRPr="00EC2D19" w:rsidRDefault="00740020" w:rsidP="00740020">
            <w:pPr>
              <w:spacing w:after="0" w:line="240" w:lineRule="auto"/>
              <w:jc w:val="left"/>
              <w:rPr>
                <w:rFonts w:ascii="Arial" w:eastAsia="Times New Roman" w:hAnsi="Arial" w:cs="Arial"/>
                <w:b/>
                <w:bCs/>
                <w:color w:val="264A60"/>
                <w:sz w:val="18"/>
                <w:szCs w:val="18"/>
                <w:lang w:eastAsia="cs-CZ"/>
              </w:rPr>
            </w:pPr>
            <w:r w:rsidRPr="00EC2D19">
              <w:rPr>
                <w:rFonts w:ascii="Arial" w:eastAsia="Times New Roman" w:hAnsi="Arial" w:cs="Arial"/>
                <w:b/>
                <w:bCs/>
                <w:color w:val="264A60"/>
                <w:sz w:val="18"/>
                <w:szCs w:val="18"/>
                <w:lang w:eastAsia="cs-CZ"/>
              </w:rPr>
              <w:t>Polarita vlastního kapitálu</w:t>
            </w:r>
          </w:p>
        </w:tc>
        <w:tc>
          <w:tcPr>
            <w:tcW w:w="2576" w:type="dxa"/>
            <w:tcBorders>
              <w:top w:val="single" w:sz="4" w:space="0" w:color="152935"/>
              <w:left w:val="nil"/>
              <w:bottom w:val="single" w:sz="4" w:space="0" w:color="AEAEAE"/>
              <w:right w:val="nil"/>
            </w:tcBorders>
            <w:shd w:val="clear" w:color="000000" w:fill="E0E0E0"/>
            <w:vAlign w:val="center"/>
            <w:hideMark/>
          </w:tcPr>
          <w:p w:rsidR="00740020" w:rsidRPr="00EC2D19" w:rsidRDefault="00740020" w:rsidP="00740020">
            <w:pPr>
              <w:spacing w:after="0" w:line="240" w:lineRule="auto"/>
              <w:jc w:val="left"/>
              <w:rPr>
                <w:rFonts w:ascii="Arial" w:eastAsia="Times New Roman" w:hAnsi="Arial" w:cs="Arial"/>
                <w:color w:val="264A60"/>
                <w:sz w:val="18"/>
                <w:szCs w:val="18"/>
                <w:lang w:eastAsia="cs-CZ"/>
              </w:rPr>
            </w:pPr>
            <w:r w:rsidRPr="00EC2D19">
              <w:rPr>
                <w:rFonts w:ascii="Arial" w:eastAsia="Times New Roman" w:hAnsi="Arial" w:cs="Arial"/>
                <w:color w:val="264A60"/>
                <w:sz w:val="18"/>
                <w:szCs w:val="18"/>
                <w:lang w:eastAsia="cs-CZ"/>
              </w:rPr>
              <w:t>Kladný VK</w:t>
            </w:r>
          </w:p>
        </w:tc>
        <w:tc>
          <w:tcPr>
            <w:tcW w:w="1529" w:type="dxa"/>
            <w:tcBorders>
              <w:top w:val="single" w:sz="4" w:space="0" w:color="152935"/>
              <w:left w:val="single" w:sz="4" w:space="0" w:color="auto"/>
              <w:bottom w:val="single" w:sz="4" w:space="0" w:color="AEAEAE"/>
              <w:right w:val="nil"/>
            </w:tcBorders>
            <w:shd w:val="clear" w:color="auto" w:fill="auto"/>
            <w:noWrap/>
            <w:vAlign w:val="center"/>
            <w:hideMark/>
          </w:tcPr>
          <w:p w:rsidR="00740020" w:rsidRPr="00112155" w:rsidRDefault="00740020" w:rsidP="00740020">
            <w:pPr>
              <w:spacing w:after="0" w:line="240" w:lineRule="auto"/>
              <w:jc w:val="center"/>
              <w:rPr>
                <w:rFonts w:ascii="Arial" w:eastAsia="Times New Roman" w:hAnsi="Arial" w:cs="Arial"/>
                <w:b/>
                <w:color w:val="010205"/>
                <w:sz w:val="18"/>
                <w:szCs w:val="18"/>
                <w:lang w:eastAsia="cs-CZ"/>
              </w:rPr>
            </w:pPr>
            <w:r w:rsidRPr="00112155">
              <w:rPr>
                <w:rFonts w:ascii="Arial" w:eastAsia="Times New Roman" w:hAnsi="Arial" w:cs="Arial"/>
                <w:b/>
                <w:color w:val="010205"/>
                <w:sz w:val="18"/>
                <w:szCs w:val="18"/>
                <w:lang w:eastAsia="cs-CZ"/>
              </w:rPr>
              <w:t>87,5</w:t>
            </w:r>
            <w:r>
              <w:rPr>
                <w:rFonts w:ascii="Arial" w:eastAsia="Times New Roman" w:hAnsi="Arial" w:cs="Arial"/>
                <w:b/>
                <w:color w:val="010205"/>
                <w:sz w:val="18"/>
                <w:szCs w:val="18"/>
                <w:lang w:eastAsia="cs-CZ"/>
              </w:rPr>
              <w:t xml:space="preserve"> </w:t>
            </w:r>
            <w:r w:rsidRPr="00112155">
              <w:rPr>
                <w:rFonts w:ascii="Arial" w:eastAsia="Times New Roman" w:hAnsi="Arial" w:cs="Arial"/>
                <w:b/>
                <w:color w:val="010205"/>
                <w:sz w:val="18"/>
                <w:szCs w:val="18"/>
                <w:lang w:eastAsia="cs-CZ"/>
              </w:rPr>
              <w:t>%</w:t>
            </w:r>
          </w:p>
        </w:tc>
        <w:tc>
          <w:tcPr>
            <w:tcW w:w="1529" w:type="dxa"/>
            <w:tcBorders>
              <w:top w:val="single" w:sz="4" w:space="0" w:color="152935"/>
              <w:left w:val="single" w:sz="4" w:space="0" w:color="E0E0E0"/>
              <w:bottom w:val="single" w:sz="4" w:space="0" w:color="AEAEAE"/>
              <w:right w:val="single" w:sz="4" w:space="0" w:color="auto"/>
            </w:tcBorders>
            <w:shd w:val="clear" w:color="auto" w:fill="auto"/>
            <w:noWrap/>
            <w:vAlign w:val="center"/>
            <w:hideMark/>
          </w:tcPr>
          <w:p w:rsidR="00740020" w:rsidRPr="00112155" w:rsidRDefault="00740020" w:rsidP="00740020">
            <w:pPr>
              <w:spacing w:after="0" w:line="240" w:lineRule="auto"/>
              <w:jc w:val="center"/>
              <w:rPr>
                <w:rFonts w:ascii="Arial" w:eastAsia="Times New Roman" w:hAnsi="Arial" w:cs="Arial"/>
                <w:b/>
                <w:color w:val="010205"/>
                <w:sz w:val="18"/>
                <w:szCs w:val="18"/>
                <w:lang w:eastAsia="cs-CZ"/>
              </w:rPr>
            </w:pPr>
            <w:r w:rsidRPr="00112155">
              <w:rPr>
                <w:rFonts w:ascii="Arial" w:eastAsia="Times New Roman" w:hAnsi="Arial" w:cs="Arial"/>
                <w:b/>
                <w:color w:val="010205"/>
                <w:sz w:val="18"/>
                <w:szCs w:val="18"/>
                <w:lang w:eastAsia="cs-CZ"/>
              </w:rPr>
              <w:t>70,0</w:t>
            </w:r>
            <w:r>
              <w:rPr>
                <w:rFonts w:ascii="Arial" w:eastAsia="Times New Roman" w:hAnsi="Arial" w:cs="Arial"/>
                <w:b/>
                <w:color w:val="010205"/>
                <w:sz w:val="18"/>
                <w:szCs w:val="18"/>
                <w:lang w:eastAsia="cs-CZ"/>
              </w:rPr>
              <w:t xml:space="preserve"> </w:t>
            </w:r>
            <w:r w:rsidRPr="00112155">
              <w:rPr>
                <w:rFonts w:ascii="Arial" w:eastAsia="Times New Roman" w:hAnsi="Arial" w:cs="Arial"/>
                <w:b/>
                <w:color w:val="010205"/>
                <w:sz w:val="18"/>
                <w:szCs w:val="18"/>
                <w:lang w:eastAsia="cs-CZ"/>
              </w:rPr>
              <w:t>%</w:t>
            </w:r>
          </w:p>
        </w:tc>
      </w:tr>
      <w:tr w:rsidR="00740020" w:rsidRPr="00EC2D19" w:rsidTr="00740020">
        <w:trPr>
          <w:trHeight w:val="246"/>
        </w:trPr>
        <w:tc>
          <w:tcPr>
            <w:tcW w:w="3438" w:type="dxa"/>
            <w:vMerge/>
            <w:tcBorders>
              <w:top w:val="single" w:sz="4" w:space="0" w:color="152935"/>
              <w:left w:val="single" w:sz="4" w:space="0" w:color="auto"/>
              <w:bottom w:val="single" w:sz="4" w:space="0" w:color="auto"/>
              <w:right w:val="nil"/>
            </w:tcBorders>
            <w:vAlign w:val="center"/>
            <w:hideMark/>
          </w:tcPr>
          <w:p w:rsidR="00740020" w:rsidRPr="00EC2D19" w:rsidRDefault="00740020" w:rsidP="00740020">
            <w:pPr>
              <w:spacing w:after="0" w:line="240" w:lineRule="auto"/>
              <w:jc w:val="left"/>
              <w:rPr>
                <w:rFonts w:ascii="Arial" w:eastAsia="Times New Roman" w:hAnsi="Arial" w:cs="Arial"/>
                <w:b/>
                <w:bCs/>
                <w:color w:val="264A60"/>
                <w:sz w:val="18"/>
                <w:szCs w:val="18"/>
                <w:lang w:eastAsia="cs-CZ"/>
              </w:rPr>
            </w:pPr>
          </w:p>
        </w:tc>
        <w:tc>
          <w:tcPr>
            <w:tcW w:w="2576" w:type="dxa"/>
            <w:tcBorders>
              <w:top w:val="nil"/>
              <w:left w:val="nil"/>
              <w:bottom w:val="single" w:sz="4" w:space="0" w:color="auto"/>
              <w:right w:val="nil"/>
            </w:tcBorders>
            <w:shd w:val="clear" w:color="000000" w:fill="E0E0E0"/>
            <w:vAlign w:val="center"/>
            <w:hideMark/>
          </w:tcPr>
          <w:p w:rsidR="00740020" w:rsidRPr="00EC2D19" w:rsidRDefault="00740020" w:rsidP="00740020">
            <w:pPr>
              <w:spacing w:after="0" w:line="240" w:lineRule="auto"/>
              <w:jc w:val="left"/>
              <w:rPr>
                <w:rFonts w:ascii="Arial" w:eastAsia="Times New Roman" w:hAnsi="Arial" w:cs="Arial"/>
                <w:color w:val="264A60"/>
                <w:sz w:val="18"/>
                <w:szCs w:val="18"/>
                <w:lang w:eastAsia="cs-CZ"/>
              </w:rPr>
            </w:pPr>
            <w:r w:rsidRPr="00EC2D19">
              <w:rPr>
                <w:rFonts w:ascii="Arial" w:eastAsia="Times New Roman" w:hAnsi="Arial" w:cs="Arial"/>
                <w:color w:val="264A60"/>
                <w:sz w:val="18"/>
                <w:szCs w:val="18"/>
                <w:lang w:eastAsia="cs-CZ"/>
              </w:rPr>
              <w:t>Záporný VK</w:t>
            </w:r>
          </w:p>
        </w:tc>
        <w:tc>
          <w:tcPr>
            <w:tcW w:w="1529" w:type="dxa"/>
            <w:tcBorders>
              <w:top w:val="nil"/>
              <w:left w:val="single" w:sz="4" w:space="0" w:color="auto"/>
              <w:bottom w:val="single" w:sz="4" w:space="0" w:color="auto"/>
              <w:right w:val="nil"/>
            </w:tcBorders>
            <w:shd w:val="clear" w:color="auto" w:fill="auto"/>
            <w:noWrap/>
            <w:vAlign w:val="center"/>
            <w:hideMark/>
          </w:tcPr>
          <w:p w:rsidR="00740020" w:rsidRPr="00EC2D19" w:rsidRDefault="00740020" w:rsidP="00740020">
            <w:pPr>
              <w:spacing w:after="0" w:line="240" w:lineRule="auto"/>
              <w:jc w:val="center"/>
              <w:rPr>
                <w:rFonts w:ascii="Arial" w:eastAsia="Times New Roman" w:hAnsi="Arial" w:cs="Arial"/>
                <w:color w:val="010205"/>
                <w:sz w:val="18"/>
                <w:szCs w:val="18"/>
                <w:lang w:eastAsia="cs-CZ"/>
              </w:rPr>
            </w:pPr>
            <w:r w:rsidRPr="00EC2D19">
              <w:rPr>
                <w:rFonts w:ascii="Arial" w:eastAsia="Times New Roman" w:hAnsi="Arial" w:cs="Arial"/>
                <w:color w:val="010205"/>
                <w:sz w:val="18"/>
                <w:szCs w:val="18"/>
                <w:lang w:eastAsia="cs-CZ"/>
              </w:rPr>
              <w:t>12,5</w:t>
            </w:r>
            <w:r>
              <w:rPr>
                <w:rFonts w:ascii="Arial" w:eastAsia="Times New Roman" w:hAnsi="Arial" w:cs="Arial"/>
                <w:color w:val="010205"/>
                <w:sz w:val="18"/>
                <w:szCs w:val="18"/>
                <w:lang w:eastAsia="cs-CZ"/>
              </w:rPr>
              <w:t xml:space="preserve"> </w:t>
            </w:r>
            <w:r w:rsidRPr="00EC2D19">
              <w:rPr>
                <w:rFonts w:ascii="Arial" w:eastAsia="Times New Roman" w:hAnsi="Arial" w:cs="Arial"/>
                <w:color w:val="010205"/>
                <w:sz w:val="18"/>
                <w:szCs w:val="18"/>
                <w:lang w:eastAsia="cs-CZ"/>
              </w:rPr>
              <w:t>%</w:t>
            </w:r>
          </w:p>
        </w:tc>
        <w:tc>
          <w:tcPr>
            <w:tcW w:w="1529" w:type="dxa"/>
            <w:tcBorders>
              <w:top w:val="nil"/>
              <w:left w:val="single" w:sz="4" w:space="0" w:color="E0E0E0"/>
              <w:bottom w:val="single" w:sz="4" w:space="0" w:color="auto"/>
              <w:right w:val="single" w:sz="4" w:space="0" w:color="auto"/>
            </w:tcBorders>
            <w:shd w:val="clear" w:color="auto" w:fill="auto"/>
            <w:noWrap/>
            <w:vAlign w:val="center"/>
            <w:hideMark/>
          </w:tcPr>
          <w:p w:rsidR="00740020" w:rsidRPr="00EC2D19" w:rsidRDefault="00740020" w:rsidP="00740020">
            <w:pPr>
              <w:spacing w:after="0" w:line="240" w:lineRule="auto"/>
              <w:jc w:val="center"/>
              <w:rPr>
                <w:rFonts w:ascii="Arial" w:eastAsia="Times New Roman" w:hAnsi="Arial" w:cs="Arial"/>
                <w:color w:val="010205"/>
                <w:sz w:val="18"/>
                <w:szCs w:val="18"/>
                <w:lang w:eastAsia="cs-CZ"/>
              </w:rPr>
            </w:pPr>
            <w:r w:rsidRPr="00EC2D19">
              <w:rPr>
                <w:rFonts w:ascii="Arial" w:eastAsia="Times New Roman" w:hAnsi="Arial" w:cs="Arial"/>
                <w:color w:val="010205"/>
                <w:sz w:val="18"/>
                <w:szCs w:val="18"/>
                <w:lang w:eastAsia="cs-CZ"/>
              </w:rPr>
              <w:t>30,0</w:t>
            </w:r>
            <w:r>
              <w:rPr>
                <w:rFonts w:ascii="Arial" w:eastAsia="Times New Roman" w:hAnsi="Arial" w:cs="Arial"/>
                <w:color w:val="010205"/>
                <w:sz w:val="18"/>
                <w:szCs w:val="18"/>
                <w:lang w:eastAsia="cs-CZ"/>
              </w:rPr>
              <w:t xml:space="preserve"> </w:t>
            </w:r>
            <w:r w:rsidRPr="00EC2D19">
              <w:rPr>
                <w:rFonts w:ascii="Arial" w:eastAsia="Times New Roman" w:hAnsi="Arial" w:cs="Arial"/>
                <w:color w:val="010205"/>
                <w:sz w:val="18"/>
                <w:szCs w:val="18"/>
                <w:lang w:eastAsia="cs-CZ"/>
              </w:rPr>
              <w:t>%</w:t>
            </w:r>
          </w:p>
        </w:tc>
      </w:tr>
    </w:tbl>
    <w:p w:rsidR="00B535EE" w:rsidRDefault="00B535EE" w:rsidP="00740020"/>
    <w:p w:rsidR="00740020" w:rsidRDefault="00740020" w:rsidP="00740020">
      <w:r w:rsidRPr="00C6331A">
        <w:t xml:space="preserve">Z analýzy četností plyne, že u podniků, které </w:t>
      </w:r>
      <w:r w:rsidRPr="00CC156C">
        <w:t>vykazovaly deficit nutné hotovosti</w:t>
      </w:r>
      <w:r>
        <w:rPr>
          <w:u w:val="single"/>
        </w:rPr>
        <w:t>,</w:t>
      </w:r>
      <w:r w:rsidRPr="00C6331A">
        <w:t xml:space="preserve"> převažovaly téměř ze dvou třetin podniky, které dosahovaly současně záporné úrovně ukazatele primární EBITDA (provozní ztráty). V souvislosti s četností deficitu nutné hotovosti to naznačuje, že</w:t>
      </w:r>
      <w:r>
        <w:t> </w:t>
      </w:r>
      <w:r w:rsidRPr="00C6331A">
        <w:rPr>
          <w:b/>
        </w:rPr>
        <w:t>polarita primární EBITDA (provozní ztráta) měla na indikaci platební neschopnosti významný vliv</w:t>
      </w:r>
      <w:r w:rsidRPr="00C6331A">
        <w:t>. U ostatních ukazatelů je situace opačná, tedy podniky vykazující deficit nutné hotovosti neměly v takové míře problémy s pracovním a vlastním kapitálem. U podniků, které</w:t>
      </w:r>
      <w:r>
        <w:t> vykazovaly přebytek nutné hotovosti, jednoznačně převažovaly podniky, které měly současně kladnou úroveň všech ostatních ukazatelů.</w:t>
      </w:r>
    </w:p>
    <w:p w:rsidR="00B535EE" w:rsidRDefault="00B535EE" w:rsidP="00740020"/>
    <w:p w:rsidR="00740020" w:rsidRDefault="00740020" w:rsidP="00740020">
      <w:pPr>
        <w:pStyle w:val="Titulek"/>
      </w:pPr>
      <w:bookmarkStart w:id="52" w:name="_Toc31054795"/>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19</w:t>
      </w:r>
      <w:r w:rsidR="00163A91">
        <w:rPr>
          <w:noProof/>
        </w:rPr>
        <w:fldChar w:fldCharType="end"/>
      </w:r>
      <w:r>
        <w:t xml:space="preserve"> – Závislost deficitu nutné hotovosti na změně polarity ostatních ukazatelů</w:t>
      </w:r>
      <w:bookmarkEnd w:id="52"/>
      <w:r>
        <w:t xml:space="preserve"> </w:t>
      </w:r>
    </w:p>
    <w:tbl>
      <w:tblPr>
        <w:tblW w:w="8477" w:type="dxa"/>
        <w:tblCellMar>
          <w:left w:w="70" w:type="dxa"/>
          <w:right w:w="70" w:type="dxa"/>
        </w:tblCellMar>
        <w:tblLook w:val="04A0"/>
      </w:tblPr>
      <w:tblGrid>
        <w:gridCol w:w="5306"/>
        <w:gridCol w:w="977"/>
        <w:gridCol w:w="1183"/>
        <w:gridCol w:w="1011"/>
      </w:tblGrid>
      <w:tr w:rsidR="00740020" w:rsidRPr="00B63D0B" w:rsidTr="00740020">
        <w:trPr>
          <w:trHeight w:val="165"/>
        </w:trPr>
        <w:tc>
          <w:tcPr>
            <w:tcW w:w="5306" w:type="dxa"/>
            <w:vMerge w:val="restart"/>
            <w:tcBorders>
              <w:top w:val="single" w:sz="4" w:space="0" w:color="auto"/>
              <w:left w:val="single" w:sz="4" w:space="0" w:color="auto"/>
              <w:bottom w:val="single" w:sz="4" w:space="0" w:color="152935"/>
              <w:right w:val="nil"/>
            </w:tcBorders>
            <w:shd w:val="clear" w:color="auto" w:fill="auto"/>
            <w:vAlign w:val="center"/>
            <w:hideMark/>
          </w:tcPr>
          <w:p w:rsidR="00740020" w:rsidRPr="00B63D0B"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Ukazatel</w:t>
            </w:r>
            <w:r w:rsidRPr="00B63D0B">
              <w:rPr>
                <w:rFonts w:ascii="Arial" w:eastAsia="Times New Roman" w:hAnsi="Arial" w:cs="Arial"/>
                <w:color w:val="264A60"/>
                <w:sz w:val="18"/>
                <w:szCs w:val="18"/>
                <w:lang w:eastAsia="cs-CZ"/>
              </w:rPr>
              <w:t> </w:t>
            </w:r>
          </w:p>
        </w:tc>
        <w:tc>
          <w:tcPr>
            <w:tcW w:w="977" w:type="dxa"/>
            <w:vMerge w:val="restart"/>
            <w:tcBorders>
              <w:top w:val="single" w:sz="4" w:space="0" w:color="auto"/>
              <w:left w:val="single" w:sz="4" w:space="0" w:color="auto"/>
              <w:bottom w:val="single" w:sz="4" w:space="0" w:color="152935"/>
              <w:right w:val="nil"/>
            </w:tcBorders>
            <w:shd w:val="clear" w:color="auto" w:fill="auto"/>
            <w:vAlign w:val="center"/>
            <w:hideMark/>
          </w:tcPr>
          <w:p w:rsidR="00740020" w:rsidRPr="00B63D0B" w:rsidRDefault="00740020" w:rsidP="00740020">
            <w:pPr>
              <w:spacing w:after="0" w:line="240" w:lineRule="auto"/>
              <w:jc w:val="center"/>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Poměr šancí</w:t>
            </w:r>
          </w:p>
        </w:tc>
        <w:tc>
          <w:tcPr>
            <w:tcW w:w="21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0020" w:rsidRPr="00B63D0B" w:rsidRDefault="00740020" w:rsidP="00740020">
            <w:pPr>
              <w:spacing w:after="0" w:line="240" w:lineRule="auto"/>
              <w:jc w:val="center"/>
              <w:rPr>
                <w:rFonts w:ascii="Arial" w:eastAsia="Times New Roman" w:hAnsi="Arial" w:cs="Arial"/>
                <w:color w:val="264A60"/>
                <w:sz w:val="18"/>
                <w:szCs w:val="18"/>
                <w:lang w:eastAsia="cs-CZ"/>
              </w:rPr>
            </w:pPr>
            <w:r w:rsidRPr="00B63D0B">
              <w:rPr>
                <w:rFonts w:ascii="Arial" w:eastAsia="Times New Roman" w:hAnsi="Arial" w:cs="Arial"/>
                <w:color w:val="264A60"/>
                <w:sz w:val="18"/>
                <w:szCs w:val="18"/>
                <w:lang w:eastAsia="cs-CZ"/>
              </w:rPr>
              <w:t xml:space="preserve">95% </w:t>
            </w:r>
            <w:r>
              <w:rPr>
                <w:rFonts w:ascii="Arial" w:eastAsia="Times New Roman" w:hAnsi="Arial" w:cs="Arial"/>
                <w:color w:val="264A60"/>
                <w:sz w:val="18"/>
                <w:szCs w:val="18"/>
                <w:lang w:eastAsia="cs-CZ"/>
              </w:rPr>
              <w:t>Interval spolehlivosti</w:t>
            </w:r>
          </w:p>
        </w:tc>
      </w:tr>
      <w:tr w:rsidR="00740020" w:rsidRPr="00B63D0B" w:rsidTr="00740020">
        <w:trPr>
          <w:trHeight w:val="165"/>
        </w:trPr>
        <w:tc>
          <w:tcPr>
            <w:tcW w:w="5306" w:type="dxa"/>
            <w:vMerge/>
            <w:tcBorders>
              <w:top w:val="single" w:sz="4" w:space="0" w:color="auto"/>
              <w:left w:val="single" w:sz="4" w:space="0" w:color="auto"/>
              <w:bottom w:val="single" w:sz="4" w:space="0" w:color="152935"/>
              <w:right w:val="nil"/>
            </w:tcBorders>
            <w:vAlign w:val="center"/>
            <w:hideMark/>
          </w:tcPr>
          <w:p w:rsidR="00740020" w:rsidRPr="00B63D0B" w:rsidRDefault="00740020" w:rsidP="00740020">
            <w:pPr>
              <w:spacing w:after="0" w:line="240" w:lineRule="auto"/>
              <w:jc w:val="left"/>
              <w:rPr>
                <w:rFonts w:ascii="Arial" w:eastAsia="Times New Roman" w:hAnsi="Arial" w:cs="Arial"/>
                <w:color w:val="264A60"/>
                <w:sz w:val="18"/>
                <w:szCs w:val="18"/>
                <w:lang w:eastAsia="cs-CZ"/>
              </w:rPr>
            </w:pPr>
          </w:p>
        </w:tc>
        <w:tc>
          <w:tcPr>
            <w:tcW w:w="977" w:type="dxa"/>
            <w:vMerge/>
            <w:tcBorders>
              <w:top w:val="single" w:sz="4" w:space="0" w:color="auto"/>
              <w:left w:val="single" w:sz="4" w:space="0" w:color="auto"/>
              <w:bottom w:val="single" w:sz="4" w:space="0" w:color="152935"/>
              <w:right w:val="nil"/>
            </w:tcBorders>
            <w:vAlign w:val="center"/>
            <w:hideMark/>
          </w:tcPr>
          <w:p w:rsidR="00740020" w:rsidRPr="00B63D0B" w:rsidRDefault="00740020" w:rsidP="00740020">
            <w:pPr>
              <w:spacing w:after="0" w:line="240" w:lineRule="auto"/>
              <w:jc w:val="left"/>
              <w:rPr>
                <w:rFonts w:ascii="Arial" w:eastAsia="Times New Roman" w:hAnsi="Arial" w:cs="Arial"/>
                <w:color w:val="264A60"/>
                <w:sz w:val="18"/>
                <w:szCs w:val="18"/>
                <w:lang w:eastAsia="cs-CZ"/>
              </w:rPr>
            </w:pPr>
          </w:p>
        </w:tc>
        <w:tc>
          <w:tcPr>
            <w:tcW w:w="1183" w:type="dxa"/>
            <w:tcBorders>
              <w:top w:val="nil"/>
              <w:left w:val="single" w:sz="4" w:space="0" w:color="auto"/>
              <w:bottom w:val="single" w:sz="4" w:space="0" w:color="152935"/>
              <w:right w:val="nil"/>
            </w:tcBorders>
            <w:shd w:val="clear" w:color="auto" w:fill="auto"/>
            <w:vAlign w:val="center"/>
            <w:hideMark/>
          </w:tcPr>
          <w:p w:rsidR="00740020" w:rsidRPr="00B63D0B" w:rsidRDefault="00740020" w:rsidP="00740020">
            <w:pPr>
              <w:spacing w:after="0" w:line="240" w:lineRule="auto"/>
              <w:jc w:val="center"/>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Dolní mez</w:t>
            </w:r>
          </w:p>
        </w:tc>
        <w:tc>
          <w:tcPr>
            <w:tcW w:w="1010" w:type="dxa"/>
            <w:tcBorders>
              <w:top w:val="nil"/>
              <w:left w:val="single" w:sz="4" w:space="0" w:color="E0E0E0"/>
              <w:bottom w:val="single" w:sz="4" w:space="0" w:color="152935"/>
              <w:right w:val="single" w:sz="4" w:space="0" w:color="auto"/>
            </w:tcBorders>
            <w:shd w:val="clear" w:color="auto" w:fill="auto"/>
            <w:vAlign w:val="center"/>
            <w:hideMark/>
          </w:tcPr>
          <w:p w:rsidR="00740020" w:rsidRPr="00B63D0B" w:rsidRDefault="00740020" w:rsidP="00740020">
            <w:pPr>
              <w:spacing w:after="0" w:line="240" w:lineRule="auto"/>
              <w:jc w:val="center"/>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Horní mez</w:t>
            </w:r>
          </w:p>
        </w:tc>
      </w:tr>
      <w:tr w:rsidR="00740020" w:rsidRPr="00B63D0B" w:rsidTr="00740020">
        <w:trPr>
          <w:trHeight w:val="469"/>
        </w:trPr>
        <w:tc>
          <w:tcPr>
            <w:tcW w:w="5306" w:type="dxa"/>
            <w:tcBorders>
              <w:top w:val="nil"/>
              <w:left w:val="single" w:sz="4" w:space="0" w:color="auto"/>
              <w:bottom w:val="single" w:sz="4" w:space="0" w:color="AEAEAE"/>
              <w:right w:val="nil"/>
            </w:tcBorders>
            <w:shd w:val="clear" w:color="000000" w:fill="E0E0E0"/>
            <w:vAlign w:val="center"/>
            <w:hideMark/>
          </w:tcPr>
          <w:p w:rsidR="00740020" w:rsidRPr="00B63D0B"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Polarita primární EBITDA</w:t>
            </w:r>
          </w:p>
        </w:tc>
        <w:tc>
          <w:tcPr>
            <w:tcW w:w="977" w:type="dxa"/>
            <w:tcBorders>
              <w:top w:val="nil"/>
              <w:left w:val="single" w:sz="4" w:space="0" w:color="auto"/>
              <w:bottom w:val="single" w:sz="4" w:space="0" w:color="AEAEAE"/>
              <w:right w:val="nil"/>
            </w:tcBorders>
            <w:shd w:val="clear" w:color="auto" w:fill="auto"/>
            <w:noWrap/>
            <w:vAlign w:val="center"/>
            <w:hideMark/>
          </w:tcPr>
          <w:p w:rsidR="00740020" w:rsidRPr="00B63D0B" w:rsidRDefault="00740020" w:rsidP="00740020">
            <w:pPr>
              <w:spacing w:after="0" w:line="240" w:lineRule="auto"/>
              <w:jc w:val="center"/>
              <w:rPr>
                <w:rFonts w:ascii="Arial" w:eastAsia="Times New Roman" w:hAnsi="Arial" w:cs="Arial"/>
                <w:color w:val="010205"/>
                <w:sz w:val="18"/>
                <w:szCs w:val="18"/>
                <w:lang w:eastAsia="cs-CZ"/>
              </w:rPr>
            </w:pPr>
            <w:r w:rsidRPr="00B63D0B">
              <w:rPr>
                <w:rFonts w:ascii="Arial" w:eastAsia="Times New Roman" w:hAnsi="Arial" w:cs="Arial"/>
                <w:color w:val="010205"/>
                <w:sz w:val="18"/>
                <w:szCs w:val="18"/>
                <w:lang w:eastAsia="cs-CZ"/>
              </w:rPr>
              <w:t>4,714</w:t>
            </w:r>
          </w:p>
        </w:tc>
        <w:tc>
          <w:tcPr>
            <w:tcW w:w="1183" w:type="dxa"/>
            <w:tcBorders>
              <w:top w:val="nil"/>
              <w:left w:val="single" w:sz="4" w:space="0" w:color="auto"/>
              <w:bottom w:val="single" w:sz="4" w:space="0" w:color="AEAEAE"/>
              <w:right w:val="nil"/>
            </w:tcBorders>
            <w:shd w:val="clear" w:color="auto" w:fill="auto"/>
            <w:noWrap/>
            <w:vAlign w:val="center"/>
            <w:hideMark/>
          </w:tcPr>
          <w:p w:rsidR="00740020" w:rsidRPr="00B63D0B" w:rsidRDefault="00740020" w:rsidP="00740020">
            <w:pPr>
              <w:spacing w:after="0" w:line="240" w:lineRule="auto"/>
              <w:jc w:val="center"/>
              <w:rPr>
                <w:rFonts w:ascii="Arial" w:eastAsia="Times New Roman" w:hAnsi="Arial" w:cs="Arial"/>
                <w:color w:val="010205"/>
                <w:sz w:val="18"/>
                <w:szCs w:val="18"/>
                <w:lang w:eastAsia="cs-CZ"/>
              </w:rPr>
            </w:pPr>
            <w:r w:rsidRPr="00B63D0B">
              <w:rPr>
                <w:rFonts w:ascii="Arial" w:eastAsia="Times New Roman" w:hAnsi="Arial" w:cs="Arial"/>
                <w:color w:val="010205"/>
                <w:sz w:val="18"/>
                <w:szCs w:val="18"/>
                <w:lang w:eastAsia="cs-CZ"/>
              </w:rPr>
              <w:t>0,900</w:t>
            </w:r>
          </w:p>
        </w:tc>
        <w:tc>
          <w:tcPr>
            <w:tcW w:w="1010" w:type="dxa"/>
            <w:tcBorders>
              <w:top w:val="nil"/>
              <w:left w:val="single" w:sz="4" w:space="0" w:color="E0E0E0"/>
              <w:bottom w:val="single" w:sz="4" w:space="0" w:color="AEAEAE"/>
              <w:right w:val="single" w:sz="4" w:space="0" w:color="auto"/>
            </w:tcBorders>
            <w:shd w:val="clear" w:color="auto" w:fill="auto"/>
            <w:noWrap/>
            <w:vAlign w:val="center"/>
            <w:hideMark/>
          </w:tcPr>
          <w:p w:rsidR="00740020" w:rsidRPr="00B63D0B" w:rsidRDefault="00740020" w:rsidP="00740020">
            <w:pPr>
              <w:spacing w:after="0" w:line="240" w:lineRule="auto"/>
              <w:jc w:val="center"/>
              <w:rPr>
                <w:rFonts w:ascii="Arial" w:eastAsia="Times New Roman" w:hAnsi="Arial" w:cs="Arial"/>
                <w:color w:val="010205"/>
                <w:sz w:val="18"/>
                <w:szCs w:val="18"/>
                <w:lang w:eastAsia="cs-CZ"/>
              </w:rPr>
            </w:pPr>
            <w:r w:rsidRPr="00B63D0B">
              <w:rPr>
                <w:rFonts w:ascii="Arial" w:eastAsia="Times New Roman" w:hAnsi="Arial" w:cs="Arial"/>
                <w:color w:val="010205"/>
                <w:sz w:val="18"/>
                <w:szCs w:val="18"/>
                <w:lang w:eastAsia="cs-CZ"/>
              </w:rPr>
              <w:t>24,682</w:t>
            </w:r>
          </w:p>
        </w:tc>
      </w:tr>
      <w:tr w:rsidR="00740020" w:rsidRPr="00B63D0B" w:rsidTr="00740020">
        <w:trPr>
          <w:trHeight w:val="617"/>
        </w:trPr>
        <w:tc>
          <w:tcPr>
            <w:tcW w:w="5306" w:type="dxa"/>
            <w:tcBorders>
              <w:top w:val="nil"/>
              <w:left w:val="single" w:sz="4" w:space="0" w:color="auto"/>
              <w:bottom w:val="single" w:sz="4" w:space="0" w:color="AEAEAE"/>
              <w:right w:val="nil"/>
            </w:tcBorders>
            <w:shd w:val="clear" w:color="000000" w:fill="E0E0E0"/>
            <w:vAlign w:val="center"/>
            <w:hideMark/>
          </w:tcPr>
          <w:p w:rsidR="00740020" w:rsidRPr="00B63D0B"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Polarita primárních NS PK</w:t>
            </w:r>
          </w:p>
        </w:tc>
        <w:tc>
          <w:tcPr>
            <w:tcW w:w="977" w:type="dxa"/>
            <w:tcBorders>
              <w:top w:val="nil"/>
              <w:left w:val="single" w:sz="4" w:space="0" w:color="auto"/>
              <w:bottom w:val="single" w:sz="4" w:space="0" w:color="AEAEAE"/>
              <w:right w:val="nil"/>
            </w:tcBorders>
            <w:shd w:val="clear" w:color="auto" w:fill="auto"/>
            <w:noWrap/>
            <w:vAlign w:val="center"/>
            <w:hideMark/>
          </w:tcPr>
          <w:p w:rsidR="00740020" w:rsidRPr="00B63D0B" w:rsidRDefault="00740020" w:rsidP="00740020">
            <w:pPr>
              <w:spacing w:after="0" w:line="240" w:lineRule="auto"/>
              <w:jc w:val="center"/>
              <w:rPr>
                <w:rFonts w:ascii="Arial" w:eastAsia="Times New Roman" w:hAnsi="Arial" w:cs="Arial"/>
                <w:color w:val="010205"/>
                <w:sz w:val="18"/>
                <w:szCs w:val="18"/>
                <w:lang w:eastAsia="cs-CZ"/>
              </w:rPr>
            </w:pPr>
            <w:r w:rsidRPr="00B63D0B">
              <w:rPr>
                <w:rFonts w:ascii="Arial" w:eastAsia="Times New Roman" w:hAnsi="Arial" w:cs="Arial"/>
                <w:color w:val="010205"/>
                <w:sz w:val="18"/>
                <w:szCs w:val="18"/>
                <w:lang w:eastAsia="cs-CZ"/>
              </w:rPr>
              <w:t>2,625</w:t>
            </w:r>
          </w:p>
        </w:tc>
        <w:tc>
          <w:tcPr>
            <w:tcW w:w="1183" w:type="dxa"/>
            <w:tcBorders>
              <w:top w:val="nil"/>
              <w:left w:val="single" w:sz="4" w:space="0" w:color="auto"/>
              <w:bottom w:val="single" w:sz="4" w:space="0" w:color="AEAEAE"/>
              <w:right w:val="nil"/>
            </w:tcBorders>
            <w:shd w:val="clear" w:color="auto" w:fill="auto"/>
            <w:noWrap/>
            <w:vAlign w:val="center"/>
            <w:hideMark/>
          </w:tcPr>
          <w:p w:rsidR="00740020" w:rsidRPr="00B63D0B" w:rsidRDefault="00740020" w:rsidP="00740020">
            <w:pPr>
              <w:spacing w:after="0" w:line="240" w:lineRule="auto"/>
              <w:jc w:val="center"/>
              <w:rPr>
                <w:rFonts w:ascii="Arial" w:eastAsia="Times New Roman" w:hAnsi="Arial" w:cs="Arial"/>
                <w:color w:val="010205"/>
                <w:sz w:val="18"/>
                <w:szCs w:val="18"/>
                <w:lang w:eastAsia="cs-CZ"/>
              </w:rPr>
            </w:pPr>
            <w:r w:rsidRPr="00B63D0B">
              <w:rPr>
                <w:rFonts w:ascii="Arial" w:eastAsia="Times New Roman" w:hAnsi="Arial" w:cs="Arial"/>
                <w:color w:val="010205"/>
                <w:sz w:val="18"/>
                <w:szCs w:val="18"/>
                <w:lang w:eastAsia="cs-CZ"/>
              </w:rPr>
              <w:t>0,503</w:t>
            </w:r>
          </w:p>
        </w:tc>
        <w:tc>
          <w:tcPr>
            <w:tcW w:w="1010" w:type="dxa"/>
            <w:tcBorders>
              <w:top w:val="nil"/>
              <w:left w:val="single" w:sz="4" w:space="0" w:color="E0E0E0"/>
              <w:bottom w:val="single" w:sz="4" w:space="0" w:color="AEAEAE"/>
              <w:right w:val="single" w:sz="4" w:space="0" w:color="auto"/>
            </w:tcBorders>
            <w:shd w:val="clear" w:color="auto" w:fill="auto"/>
            <w:noWrap/>
            <w:vAlign w:val="center"/>
            <w:hideMark/>
          </w:tcPr>
          <w:p w:rsidR="00740020" w:rsidRPr="00B63D0B" w:rsidRDefault="00740020" w:rsidP="00740020">
            <w:pPr>
              <w:spacing w:after="0" w:line="240" w:lineRule="auto"/>
              <w:jc w:val="center"/>
              <w:rPr>
                <w:rFonts w:ascii="Arial" w:eastAsia="Times New Roman" w:hAnsi="Arial" w:cs="Arial"/>
                <w:color w:val="010205"/>
                <w:sz w:val="18"/>
                <w:szCs w:val="18"/>
                <w:lang w:eastAsia="cs-CZ"/>
              </w:rPr>
            </w:pPr>
            <w:r w:rsidRPr="00B63D0B">
              <w:rPr>
                <w:rFonts w:ascii="Arial" w:eastAsia="Times New Roman" w:hAnsi="Arial" w:cs="Arial"/>
                <w:color w:val="010205"/>
                <w:sz w:val="18"/>
                <w:szCs w:val="18"/>
                <w:lang w:eastAsia="cs-CZ"/>
              </w:rPr>
              <w:t>13,710</w:t>
            </w:r>
          </w:p>
        </w:tc>
      </w:tr>
      <w:tr w:rsidR="00740020" w:rsidRPr="00B63D0B" w:rsidTr="00740020">
        <w:trPr>
          <w:trHeight w:val="480"/>
        </w:trPr>
        <w:tc>
          <w:tcPr>
            <w:tcW w:w="5306" w:type="dxa"/>
            <w:tcBorders>
              <w:top w:val="nil"/>
              <w:left w:val="single" w:sz="4" w:space="0" w:color="auto"/>
              <w:bottom w:val="single" w:sz="4" w:space="0" w:color="auto"/>
              <w:right w:val="nil"/>
            </w:tcBorders>
            <w:shd w:val="clear" w:color="000000" w:fill="E0E0E0"/>
            <w:vAlign w:val="center"/>
            <w:hideMark/>
          </w:tcPr>
          <w:p w:rsidR="00740020" w:rsidRPr="00B63D0B"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Polarita vlastního kapitálu</w:t>
            </w:r>
          </w:p>
        </w:tc>
        <w:tc>
          <w:tcPr>
            <w:tcW w:w="977" w:type="dxa"/>
            <w:tcBorders>
              <w:top w:val="nil"/>
              <w:left w:val="single" w:sz="4" w:space="0" w:color="auto"/>
              <w:bottom w:val="single" w:sz="4" w:space="0" w:color="auto"/>
              <w:right w:val="nil"/>
            </w:tcBorders>
            <w:shd w:val="clear" w:color="auto" w:fill="auto"/>
            <w:noWrap/>
            <w:vAlign w:val="center"/>
            <w:hideMark/>
          </w:tcPr>
          <w:p w:rsidR="00740020" w:rsidRPr="00B63D0B" w:rsidRDefault="00740020" w:rsidP="00740020">
            <w:pPr>
              <w:spacing w:after="0" w:line="240" w:lineRule="auto"/>
              <w:jc w:val="center"/>
              <w:rPr>
                <w:rFonts w:ascii="Arial" w:eastAsia="Times New Roman" w:hAnsi="Arial" w:cs="Arial"/>
                <w:color w:val="010205"/>
                <w:sz w:val="18"/>
                <w:szCs w:val="18"/>
                <w:lang w:eastAsia="cs-CZ"/>
              </w:rPr>
            </w:pPr>
            <w:r w:rsidRPr="00B63D0B">
              <w:rPr>
                <w:rFonts w:ascii="Arial" w:eastAsia="Times New Roman" w:hAnsi="Arial" w:cs="Arial"/>
                <w:color w:val="010205"/>
                <w:sz w:val="18"/>
                <w:szCs w:val="18"/>
                <w:lang w:eastAsia="cs-CZ"/>
              </w:rPr>
              <w:t>3,000</w:t>
            </w:r>
          </w:p>
        </w:tc>
        <w:tc>
          <w:tcPr>
            <w:tcW w:w="1183" w:type="dxa"/>
            <w:tcBorders>
              <w:top w:val="nil"/>
              <w:left w:val="single" w:sz="4" w:space="0" w:color="auto"/>
              <w:bottom w:val="single" w:sz="4" w:space="0" w:color="auto"/>
              <w:right w:val="nil"/>
            </w:tcBorders>
            <w:shd w:val="clear" w:color="auto" w:fill="auto"/>
            <w:noWrap/>
            <w:vAlign w:val="center"/>
            <w:hideMark/>
          </w:tcPr>
          <w:p w:rsidR="00740020" w:rsidRPr="00B63D0B" w:rsidRDefault="00740020" w:rsidP="00740020">
            <w:pPr>
              <w:spacing w:after="0" w:line="240" w:lineRule="auto"/>
              <w:jc w:val="center"/>
              <w:rPr>
                <w:rFonts w:ascii="Arial" w:eastAsia="Times New Roman" w:hAnsi="Arial" w:cs="Arial"/>
                <w:color w:val="010205"/>
                <w:sz w:val="18"/>
                <w:szCs w:val="18"/>
                <w:lang w:eastAsia="cs-CZ"/>
              </w:rPr>
            </w:pPr>
            <w:r w:rsidRPr="00B63D0B">
              <w:rPr>
                <w:rFonts w:ascii="Arial" w:eastAsia="Times New Roman" w:hAnsi="Arial" w:cs="Arial"/>
                <w:color w:val="010205"/>
                <w:sz w:val="18"/>
                <w:szCs w:val="18"/>
                <w:lang w:eastAsia="cs-CZ"/>
              </w:rPr>
              <w:t>0,352</w:t>
            </w:r>
          </w:p>
        </w:tc>
        <w:tc>
          <w:tcPr>
            <w:tcW w:w="1010" w:type="dxa"/>
            <w:tcBorders>
              <w:top w:val="nil"/>
              <w:left w:val="single" w:sz="4" w:space="0" w:color="E0E0E0"/>
              <w:bottom w:val="single" w:sz="4" w:space="0" w:color="auto"/>
              <w:right w:val="single" w:sz="4" w:space="0" w:color="auto"/>
            </w:tcBorders>
            <w:shd w:val="clear" w:color="auto" w:fill="auto"/>
            <w:noWrap/>
            <w:vAlign w:val="center"/>
            <w:hideMark/>
          </w:tcPr>
          <w:p w:rsidR="00740020" w:rsidRPr="00B63D0B" w:rsidRDefault="00740020" w:rsidP="00740020">
            <w:pPr>
              <w:spacing w:after="0" w:line="240" w:lineRule="auto"/>
              <w:jc w:val="center"/>
              <w:rPr>
                <w:rFonts w:ascii="Arial" w:eastAsia="Times New Roman" w:hAnsi="Arial" w:cs="Arial"/>
                <w:color w:val="010205"/>
                <w:sz w:val="18"/>
                <w:szCs w:val="18"/>
                <w:lang w:eastAsia="cs-CZ"/>
              </w:rPr>
            </w:pPr>
            <w:r w:rsidRPr="00B63D0B">
              <w:rPr>
                <w:rFonts w:ascii="Arial" w:eastAsia="Times New Roman" w:hAnsi="Arial" w:cs="Arial"/>
                <w:color w:val="010205"/>
                <w:sz w:val="18"/>
                <w:szCs w:val="18"/>
                <w:lang w:eastAsia="cs-CZ"/>
              </w:rPr>
              <w:t>25,581</w:t>
            </w:r>
          </w:p>
        </w:tc>
      </w:tr>
    </w:tbl>
    <w:p w:rsidR="00B535EE" w:rsidRDefault="00B535EE" w:rsidP="00740020"/>
    <w:p w:rsidR="00740020" w:rsidRDefault="00740020" w:rsidP="00740020">
      <w:r w:rsidRPr="00990703">
        <w:t>Uvedená analýza ukazuje závislost deficitu nutné hotovosti na polaritě jednotlivých vybraných ukazatelů pomocí poměru šancí, ukazuje tedy, kolikrát se zvýší šance, že bude existovat nedostatek nutné hotovosti, jestliže dojde ke změně polarity ostatních ukazatelů.</w:t>
      </w:r>
      <w:r>
        <w:t xml:space="preserve"> Z analýzy plyne, že </w:t>
      </w:r>
      <w:r w:rsidRPr="00FA31C2">
        <w:rPr>
          <w:b/>
        </w:rPr>
        <w:t xml:space="preserve">největší intenzita závislosti likvidity (měřené deficitem nutné </w:t>
      </w:r>
      <w:r w:rsidRPr="00FA31C2">
        <w:rPr>
          <w:b/>
        </w:rPr>
        <w:lastRenderedPageBreak/>
        <w:t>hotovosti) je na polaritě primární EBITDA</w:t>
      </w:r>
      <w:r>
        <w:t xml:space="preserve">. To koresponduje s analýzou relativních četností. Z tohoto úhlu pohledu je tedy primární EBITDA, resp. její polarita, významnou determinantou likvidity a potažmo platební schopnosti. Jak vyplynulo z analýzy relativních četností polarity poměrových ukazatelů, </w:t>
      </w:r>
      <w:r w:rsidRPr="00FA31C2">
        <w:rPr>
          <w:b/>
        </w:rPr>
        <w:t xml:space="preserve">byla primární EBITDA záporná u 42,5 % podniků </w:t>
      </w:r>
      <w:r>
        <w:rPr>
          <w:b/>
        </w:rPr>
        <w:t>tři</w:t>
      </w:r>
      <w:r w:rsidRPr="00FA31C2">
        <w:rPr>
          <w:b/>
        </w:rPr>
        <w:t xml:space="preserve"> roky před vyhlášením moratoria a u 87 %</w:t>
      </w:r>
      <w:r>
        <w:rPr>
          <w:b/>
        </w:rPr>
        <w:t xml:space="preserve"> podniků</w:t>
      </w:r>
      <w:r w:rsidRPr="00FA31C2">
        <w:rPr>
          <w:b/>
        </w:rPr>
        <w:t xml:space="preserve"> </w:t>
      </w:r>
      <w:r>
        <w:rPr>
          <w:b/>
        </w:rPr>
        <w:t>jeden</w:t>
      </w:r>
      <w:r w:rsidRPr="00FA31C2">
        <w:rPr>
          <w:b/>
        </w:rPr>
        <w:t xml:space="preserve"> rok před vyhlášením moratoria</w:t>
      </w:r>
      <w:r>
        <w:t>.</w:t>
      </w:r>
    </w:p>
    <w:p w:rsidR="00B535EE" w:rsidRDefault="00B535EE" w:rsidP="00740020"/>
    <w:p w:rsidR="00740020" w:rsidRDefault="00740020" w:rsidP="00740020">
      <w:pPr>
        <w:pStyle w:val="Titulek"/>
      </w:pPr>
      <w:bookmarkStart w:id="53" w:name="_Toc31054796"/>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20</w:t>
      </w:r>
      <w:r w:rsidR="00163A91">
        <w:rPr>
          <w:noProof/>
        </w:rPr>
        <w:fldChar w:fldCharType="end"/>
      </w:r>
      <w:r>
        <w:t xml:space="preserve"> – Absolutní a relativní četnost polarity vlastního kapitálu</w:t>
      </w:r>
      <w:bookmarkEnd w:id="53"/>
    </w:p>
    <w:tbl>
      <w:tblPr>
        <w:tblW w:w="8422" w:type="dxa"/>
        <w:tblCellMar>
          <w:left w:w="70" w:type="dxa"/>
          <w:right w:w="70" w:type="dxa"/>
        </w:tblCellMar>
        <w:tblLook w:val="04A0"/>
      </w:tblPr>
      <w:tblGrid>
        <w:gridCol w:w="4412"/>
        <w:gridCol w:w="2005"/>
        <w:gridCol w:w="2005"/>
      </w:tblGrid>
      <w:tr w:rsidR="00740020" w:rsidRPr="009E2415" w:rsidTr="00740020">
        <w:trPr>
          <w:trHeight w:val="496"/>
        </w:trPr>
        <w:tc>
          <w:tcPr>
            <w:tcW w:w="4412" w:type="dxa"/>
            <w:tcBorders>
              <w:top w:val="single" w:sz="4" w:space="0" w:color="auto"/>
              <w:left w:val="single" w:sz="4" w:space="0" w:color="auto"/>
              <w:bottom w:val="single" w:sz="4" w:space="0" w:color="152935"/>
              <w:right w:val="nil"/>
            </w:tcBorders>
            <w:shd w:val="clear" w:color="auto" w:fill="auto"/>
            <w:vAlign w:val="center"/>
            <w:hideMark/>
          </w:tcPr>
          <w:p w:rsidR="00740020" w:rsidRPr="009E2415" w:rsidRDefault="00740020" w:rsidP="00740020">
            <w:pPr>
              <w:spacing w:after="0" w:line="240" w:lineRule="auto"/>
              <w:jc w:val="left"/>
              <w:rPr>
                <w:rFonts w:ascii="Arial" w:eastAsia="Times New Roman" w:hAnsi="Arial" w:cs="Arial"/>
                <w:color w:val="264A60"/>
                <w:sz w:val="18"/>
                <w:szCs w:val="18"/>
                <w:lang w:eastAsia="cs-CZ"/>
              </w:rPr>
            </w:pPr>
            <w:r w:rsidRPr="009E2415">
              <w:rPr>
                <w:rFonts w:ascii="Arial" w:eastAsia="Times New Roman" w:hAnsi="Arial" w:cs="Arial"/>
                <w:color w:val="264A60"/>
                <w:sz w:val="18"/>
                <w:szCs w:val="18"/>
                <w:lang w:eastAsia="cs-CZ"/>
              </w:rPr>
              <w:t> </w:t>
            </w:r>
          </w:p>
        </w:tc>
        <w:tc>
          <w:tcPr>
            <w:tcW w:w="2005" w:type="dxa"/>
            <w:tcBorders>
              <w:top w:val="single" w:sz="4" w:space="0" w:color="auto"/>
              <w:left w:val="single" w:sz="4" w:space="0" w:color="auto"/>
              <w:bottom w:val="single" w:sz="4" w:space="0" w:color="152935"/>
              <w:right w:val="single" w:sz="4" w:space="0" w:color="E0E0E0"/>
            </w:tcBorders>
            <w:shd w:val="clear" w:color="auto" w:fill="auto"/>
            <w:vAlign w:val="center"/>
            <w:hideMark/>
          </w:tcPr>
          <w:p w:rsidR="00740020" w:rsidRPr="009E2415" w:rsidRDefault="00740020" w:rsidP="00740020">
            <w:pPr>
              <w:spacing w:after="0" w:line="240" w:lineRule="auto"/>
              <w:jc w:val="center"/>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Absolutní četnost</w:t>
            </w:r>
          </w:p>
        </w:tc>
        <w:tc>
          <w:tcPr>
            <w:tcW w:w="2005" w:type="dxa"/>
            <w:tcBorders>
              <w:top w:val="single" w:sz="4" w:space="0" w:color="auto"/>
              <w:left w:val="nil"/>
              <w:bottom w:val="single" w:sz="4" w:space="0" w:color="152935"/>
              <w:right w:val="single" w:sz="4" w:space="0" w:color="auto"/>
            </w:tcBorders>
            <w:shd w:val="clear" w:color="auto" w:fill="auto"/>
            <w:vAlign w:val="center"/>
            <w:hideMark/>
          </w:tcPr>
          <w:p w:rsidR="00740020" w:rsidRPr="009E2415" w:rsidRDefault="00740020" w:rsidP="00740020">
            <w:pPr>
              <w:spacing w:after="0" w:line="240" w:lineRule="auto"/>
              <w:jc w:val="center"/>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Relativní četnost</w:t>
            </w:r>
          </w:p>
        </w:tc>
      </w:tr>
      <w:tr w:rsidR="00740020" w:rsidRPr="009E2415" w:rsidTr="00740020">
        <w:trPr>
          <w:trHeight w:val="291"/>
        </w:trPr>
        <w:tc>
          <w:tcPr>
            <w:tcW w:w="4412" w:type="dxa"/>
            <w:tcBorders>
              <w:top w:val="nil"/>
              <w:left w:val="single" w:sz="4" w:space="0" w:color="auto"/>
              <w:bottom w:val="single" w:sz="4" w:space="0" w:color="AEAEAE"/>
              <w:right w:val="nil"/>
            </w:tcBorders>
            <w:shd w:val="clear" w:color="000000" w:fill="E0E0E0"/>
            <w:vAlign w:val="center"/>
            <w:hideMark/>
          </w:tcPr>
          <w:p w:rsidR="00740020" w:rsidRPr="009E2415" w:rsidRDefault="00740020" w:rsidP="00740020">
            <w:pPr>
              <w:spacing w:after="0" w:line="240" w:lineRule="auto"/>
              <w:jc w:val="left"/>
              <w:rPr>
                <w:rFonts w:ascii="Arial" w:eastAsia="Times New Roman" w:hAnsi="Arial" w:cs="Arial"/>
                <w:color w:val="264A60"/>
                <w:sz w:val="18"/>
                <w:szCs w:val="18"/>
                <w:lang w:eastAsia="cs-CZ"/>
              </w:rPr>
            </w:pPr>
            <w:r w:rsidRPr="009E2415">
              <w:rPr>
                <w:rFonts w:ascii="Arial" w:eastAsia="Times New Roman" w:hAnsi="Arial" w:cs="Arial"/>
                <w:color w:val="264A60"/>
                <w:sz w:val="18"/>
                <w:szCs w:val="18"/>
                <w:lang w:eastAsia="cs-CZ"/>
              </w:rPr>
              <w:t>Kladný VK</w:t>
            </w:r>
          </w:p>
        </w:tc>
        <w:tc>
          <w:tcPr>
            <w:tcW w:w="2005" w:type="dxa"/>
            <w:tcBorders>
              <w:top w:val="nil"/>
              <w:left w:val="single" w:sz="4" w:space="0" w:color="auto"/>
              <w:bottom w:val="single" w:sz="4" w:space="0" w:color="AEAEAE"/>
              <w:right w:val="single" w:sz="4" w:space="0" w:color="E0E0E0"/>
            </w:tcBorders>
            <w:shd w:val="clear" w:color="auto" w:fill="auto"/>
            <w:noWrap/>
            <w:vAlign w:val="center"/>
            <w:hideMark/>
          </w:tcPr>
          <w:p w:rsidR="00740020" w:rsidRPr="009E2415" w:rsidRDefault="00740020" w:rsidP="00740020">
            <w:pPr>
              <w:spacing w:after="0" w:line="240" w:lineRule="auto"/>
              <w:jc w:val="center"/>
              <w:rPr>
                <w:rFonts w:ascii="Arial" w:eastAsia="Times New Roman" w:hAnsi="Arial" w:cs="Arial"/>
                <w:color w:val="010205"/>
                <w:sz w:val="18"/>
                <w:szCs w:val="18"/>
                <w:lang w:eastAsia="cs-CZ"/>
              </w:rPr>
            </w:pPr>
            <w:r w:rsidRPr="009E2415">
              <w:rPr>
                <w:rFonts w:ascii="Arial" w:eastAsia="Times New Roman" w:hAnsi="Arial" w:cs="Arial"/>
                <w:color w:val="010205"/>
                <w:sz w:val="18"/>
                <w:szCs w:val="18"/>
                <w:lang w:eastAsia="cs-CZ"/>
              </w:rPr>
              <w:t>70</w:t>
            </w:r>
          </w:p>
        </w:tc>
        <w:tc>
          <w:tcPr>
            <w:tcW w:w="2005" w:type="dxa"/>
            <w:tcBorders>
              <w:top w:val="nil"/>
              <w:left w:val="nil"/>
              <w:bottom w:val="single" w:sz="4" w:space="0" w:color="AEAEAE"/>
              <w:right w:val="single" w:sz="4" w:space="0" w:color="auto"/>
            </w:tcBorders>
            <w:shd w:val="clear" w:color="auto" w:fill="auto"/>
            <w:noWrap/>
            <w:vAlign w:val="center"/>
            <w:hideMark/>
          </w:tcPr>
          <w:p w:rsidR="00740020" w:rsidRPr="00330C5A" w:rsidRDefault="00740020" w:rsidP="00740020">
            <w:pPr>
              <w:spacing w:after="0" w:line="240" w:lineRule="auto"/>
              <w:jc w:val="center"/>
              <w:rPr>
                <w:rFonts w:ascii="Arial" w:eastAsia="Times New Roman" w:hAnsi="Arial" w:cs="Arial"/>
                <w:b/>
                <w:color w:val="010205"/>
                <w:sz w:val="18"/>
                <w:szCs w:val="18"/>
                <w:lang w:eastAsia="cs-CZ"/>
              </w:rPr>
            </w:pPr>
            <w:r w:rsidRPr="00330C5A">
              <w:rPr>
                <w:rFonts w:ascii="Arial" w:eastAsia="Times New Roman" w:hAnsi="Arial" w:cs="Arial"/>
                <w:b/>
                <w:color w:val="010205"/>
                <w:sz w:val="18"/>
                <w:szCs w:val="18"/>
                <w:lang w:eastAsia="cs-CZ"/>
              </w:rPr>
              <w:t>71,4</w:t>
            </w:r>
            <w:r>
              <w:rPr>
                <w:rFonts w:ascii="Arial" w:eastAsia="Times New Roman" w:hAnsi="Arial" w:cs="Arial"/>
                <w:b/>
                <w:color w:val="010205"/>
                <w:sz w:val="18"/>
                <w:szCs w:val="18"/>
                <w:lang w:eastAsia="cs-CZ"/>
              </w:rPr>
              <w:t xml:space="preserve"> </w:t>
            </w:r>
            <w:r w:rsidRPr="00330C5A">
              <w:rPr>
                <w:rFonts w:ascii="Arial" w:eastAsia="Times New Roman" w:hAnsi="Arial" w:cs="Arial"/>
                <w:b/>
                <w:color w:val="010205"/>
                <w:sz w:val="18"/>
                <w:szCs w:val="18"/>
                <w:lang w:eastAsia="cs-CZ"/>
              </w:rPr>
              <w:t>%</w:t>
            </w:r>
          </w:p>
        </w:tc>
      </w:tr>
      <w:tr w:rsidR="00740020" w:rsidRPr="009E2415" w:rsidTr="00740020">
        <w:trPr>
          <w:trHeight w:val="291"/>
        </w:trPr>
        <w:tc>
          <w:tcPr>
            <w:tcW w:w="4412" w:type="dxa"/>
            <w:tcBorders>
              <w:top w:val="nil"/>
              <w:left w:val="single" w:sz="4" w:space="0" w:color="auto"/>
              <w:bottom w:val="single" w:sz="4" w:space="0" w:color="AEAEAE"/>
              <w:right w:val="nil"/>
            </w:tcBorders>
            <w:shd w:val="clear" w:color="000000" w:fill="E0E0E0"/>
            <w:vAlign w:val="center"/>
            <w:hideMark/>
          </w:tcPr>
          <w:p w:rsidR="00740020" w:rsidRPr="009E2415" w:rsidRDefault="00740020" w:rsidP="00740020">
            <w:pPr>
              <w:spacing w:after="0" w:line="240" w:lineRule="auto"/>
              <w:jc w:val="left"/>
              <w:rPr>
                <w:rFonts w:ascii="Arial" w:eastAsia="Times New Roman" w:hAnsi="Arial" w:cs="Arial"/>
                <w:color w:val="264A60"/>
                <w:sz w:val="18"/>
                <w:szCs w:val="18"/>
                <w:lang w:eastAsia="cs-CZ"/>
              </w:rPr>
            </w:pPr>
            <w:r w:rsidRPr="009E2415">
              <w:rPr>
                <w:rFonts w:ascii="Arial" w:eastAsia="Times New Roman" w:hAnsi="Arial" w:cs="Arial"/>
                <w:color w:val="264A60"/>
                <w:sz w:val="18"/>
                <w:szCs w:val="18"/>
                <w:lang w:eastAsia="cs-CZ"/>
              </w:rPr>
              <w:t>Záporný VK</w:t>
            </w:r>
          </w:p>
        </w:tc>
        <w:tc>
          <w:tcPr>
            <w:tcW w:w="2005" w:type="dxa"/>
            <w:tcBorders>
              <w:top w:val="nil"/>
              <w:left w:val="single" w:sz="4" w:space="0" w:color="auto"/>
              <w:bottom w:val="single" w:sz="4" w:space="0" w:color="AEAEAE"/>
              <w:right w:val="single" w:sz="4" w:space="0" w:color="E0E0E0"/>
            </w:tcBorders>
            <w:shd w:val="clear" w:color="auto" w:fill="auto"/>
            <w:noWrap/>
            <w:vAlign w:val="center"/>
            <w:hideMark/>
          </w:tcPr>
          <w:p w:rsidR="00740020" w:rsidRPr="009E2415" w:rsidRDefault="00740020" w:rsidP="00740020">
            <w:pPr>
              <w:spacing w:after="0" w:line="240" w:lineRule="auto"/>
              <w:jc w:val="center"/>
              <w:rPr>
                <w:rFonts w:ascii="Arial" w:eastAsia="Times New Roman" w:hAnsi="Arial" w:cs="Arial"/>
                <w:color w:val="010205"/>
                <w:sz w:val="18"/>
                <w:szCs w:val="18"/>
                <w:lang w:eastAsia="cs-CZ"/>
              </w:rPr>
            </w:pPr>
            <w:r w:rsidRPr="009E2415">
              <w:rPr>
                <w:rFonts w:ascii="Arial" w:eastAsia="Times New Roman" w:hAnsi="Arial" w:cs="Arial"/>
                <w:color w:val="010205"/>
                <w:sz w:val="18"/>
                <w:szCs w:val="18"/>
                <w:lang w:eastAsia="cs-CZ"/>
              </w:rPr>
              <w:t>28</w:t>
            </w:r>
          </w:p>
        </w:tc>
        <w:tc>
          <w:tcPr>
            <w:tcW w:w="2005" w:type="dxa"/>
            <w:tcBorders>
              <w:top w:val="nil"/>
              <w:left w:val="nil"/>
              <w:bottom w:val="single" w:sz="4" w:space="0" w:color="AEAEAE"/>
              <w:right w:val="single" w:sz="4" w:space="0" w:color="auto"/>
            </w:tcBorders>
            <w:shd w:val="clear" w:color="auto" w:fill="auto"/>
            <w:noWrap/>
            <w:vAlign w:val="center"/>
            <w:hideMark/>
          </w:tcPr>
          <w:p w:rsidR="00740020" w:rsidRPr="009E2415" w:rsidRDefault="00740020" w:rsidP="00740020">
            <w:pPr>
              <w:spacing w:after="0" w:line="240" w:lineRule="auto"/>
              <w:jc w:val="center"/>
              <w:rPr>
                <w:rFonts w:ascii="Arial" w:eastAsia="Times New Roman" w:hAnsi="Arial" w:cs="Arial"/>
                <w:color w:val="010205"/>
                <w:sz w:val="18"/>
                <w:szCs w:val="18"/>
                <w:lang w:eastAsia="cs-CZ"/>
              </w:rPr>
            </w:pPr>
            <w:r w:rsidRPr="009E2415">
              <w:rPr>
                <w:rFonts w:ascii="Arial" w:eastAsia="Times New Roman" w:hAnsi="Arial" w:cs="Arial"/>
                <w:color w:val="010205"/>
                <w:sz w:val="18"/>
                <w:szCs w:val="18"/>
                <w:lang w:eastAsia="cs-CZ"/>
              </w:rPr>
              <w:t>28,6</w:t>
            </w:r>
            <w:r>
              <w:rPr>
                <w:rFonts w:ascii="Arial" w:eastAsia="Times New Roman" w:hAnsi="Arial" w:cs="Arial"/>
                <w:color w:val="010205"/>
                <w:sz w:val="18"/>
                <w:szCs w:val="18"/>
                <w:lang w:eastAsia="cs-CZ"/>
              </w:rPr>
              <w:t xml:space="preserve"> %</w:t>
            </w:r>
          </w:p>
        </w:tc>
      </w:tr>
      <w:tr w:rsidR="00740020" w:rsidRPr="009E2415" w:rsidTr="00740020">
        <w:trPr>
          <w:trHeight w:val="291"/>
        </w:trPr>
        <w:tc>
          <w:tcPr>
            <w:tcW w:w="4412" w:type="dxa"/>
            <w:tcBorders>
              <w:top w:val="nil"/>
              <w:left w:val="single" w:sz="4" w:space="0" w:color="auto"/>
              <w:bottom w:val="single" w:sz="4" w:space="0" w:color="auto"/>
              <w:right w:val="nil"/>
            </w:tcBorders>
            <w:shd w:val="clear" w:color="000000" w:fill="E0E0E0"/>
            <w:vAlign w:val="center"/>
            <w:hideMark/>
          </w:tcPr>
          <w:p w:rsidR="00740020" w:rsidRPr="009E2415"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Celkem</w:t>
            </w:r>
          </w:p>
        </w:tc>
        <w:tc>
          <w:tcPr>
            <w:tcW w:w="2005" w:type="dxa"/>
            <w:tcBorders>
              <w:top w:val="nil"/>
              <w:left w:val="single" w:sz="4" w:space="0" w:color="auto"/>
              <w:bottom w:val="single" w:sz="4" w:space="0" w:color="auto"/>
              <w:right w:val="single" w:sz="4" w:space="0" w:color="E0E0E0"/>
            </w:tcBorders>
            <w:shd w:val="clear" w:color="auto" w:fill="auto"/>
            <w:noWrap/>
            <w:vAlign w:val="center"/>
            <w:hideMark/>
          </w:tcPr>
          <w:p w:rsidR="00740020" w:rsidRPr="009E2415" w:rsidRDefault="00740020" w:rsidP="00740020">
            <w:pPr>
              <w:spacing w:after="0" w:line="240" w:lineRule="auto"/>
              <w:jc w:val="center"/>
              <w:rPr>
                <w:rFonts w:ascii="Arial" w:eastAsia="Times New Roman" w:hAnsi="Arial" w:cs="Arial"/>
                <w:color w:val="010205"/>
                <w:sz w:val="18"/>
                <w:szCs w:val="18"/>
                <w:lang w:eastAsia="cs-CZ"/>
              </w:rPr>
            </w:pPr>
            <w:r w:rsidRPr="009E2415">
              <w:rPr>
                <w:rFonts w:ascii="Arial" w:eastAsia="Times New Roman" w:hAnsi="Arial" w:cs="Arial"/>
                <w:color w:val="010205"/>
                <w:sz w:val="18"/>
                <w:szCs w:val="18"/>
                <w:lang w:eastAsia="cs-CZ"/>
              </w:rPr>
              <w:t>98</w:t>
            </w:r>
          </w:p>
        </w:tc>
        <w:tc>
          <w:tcPr>
            <w:tcW w:w="2005" w:type="dxa"/>
            <w:tcBorders>
              <w:top w:val="nil"/>
              <w:left w:val="nil"/>
              <w:bottom w:val="single" w:sz="4" w:space="0" w:color="auto"/>
              <w:right w:val="single" w:sz="4" w:space="0" w:color="auto"/>
            </w:tcBorders>
            <w:shd w:val="clear" w:color="auto" w:fill="auto"/>
            <w:noWrap/>
            <w:vAlign w:val="center"/>
            <w:hideMark/>
          </w:tcPr>
          <w:p w:rsidR="00740020" w:rsidRPr="009E2415" w:rsidRDefault="00740020" w:rsidP="00740020">
            <w:pPr>
              <w:spacing w:after="0" w:line="240" w:lineRule="auto"/>
              <w:jc w:val="center"/>
              <w:rPr>
                <w:rFonts w:ascii="Arial" w:eastAsia="Times New Roman" w:hAnsi="Arial" w:cs="Arial"/>
                <w:color w:val="010205"/>
                <w:sz w:val="18"/>
                <w:szCs w:val="18"/>
                <w:lang w:eastAsia="cs-CZ"/>
              </w:rPr>
            </w:pPr>
            <w:r w:rsidRPr="009E2415">
              <w:rPr>
                <w:rFonts w:ascii="Arial" w:eastAsia="Times New Roman" w:hAnsi="Arial" w:cs="Arial"/>
                <w:color w:val="010205"/>
                <w:sz w:val="18"/>
                <w:szCs w:val="18"/>
                <w:lang w:eastAsia="cs-CZ"/>
              </w:rPr>
              <w:t>100,0</w:t>
            </w:r>
            <w:r>
              <w:rPr>
                <w:rFonts w:ascii="Arial" w:eastAsia="Times New Roman" w:hAnsi="Arial" w:cs="Arial"/>
                <w:color w:val="010205"/>
                <w:sz w:val="18"/>
                <w:szCs w:val="18"/>
                <w:lang w:eastAsia="cs-CZ"/>
              </w:rPr>
              <w:t xml:space="preserve"> %</w:t>
            </w:r>
          </w:p>
        </w:tc>
      </w:tr>
    </w:tbl>
    <w:p w:rsidR="00B535EE" w:rsidRDefault="00B535EE" w:rsidP="00740020"/>
    <w:p w:rsidR="00740020" w:rsidRDefault="00740020" w:rsidP="00740020">
      <w:r>
        <w:t xml:space="preserve">Na rozdíl od deficitu nutné hotovosti byl ve více než 70 % případů zjištěn kladný vlastní kapitál. Z toho lze usoudit, že </w:t>
      </w:r>
      <w:r w:rsidRPr="00C6331A">
        <w:rPr>
          <w:b/>
        </w:rPr>
        <w:t>podniky, u kterých bylo vyhlášeno moratorium, se s potenciálním předlužením potýkaly jen v malé míře</w:t>
      </w:r>
      <w:r>
        <w:t>.</w:t>
      </w:r>
    </w:p>
    <w:p w:rsidR="00B535EE" w:rsidRDefault="00B535EE" w:rsidP="00740020"/>
    <w:p w:rsidR="00740020" w:rsidRPr="00A53CC8" w:rsidRDefault="00740020" w:rsidP="00740020">
      <w:pPr>
        <w:pStyle w:val="Titulek"/>
      </w:pPr>
      <w:bookmarkStart w:id="54" w:name="_Toc31054797"/>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21</w:t>
      </w:r>
      <w:r w:rsidR="00163A91">
        <w:rPr>
          <w:noProof/>
        </w:rPr>
        <w:fldChar w:fldCharType="end"/>
      </w:r>
      <w:r>
        <w:t xml:space="preserve"> – Relativní četnosti polarity vlastního kapitálu a ostatních ukazatelů</w:t>
      </w:r>
      <w:bookmarkEnd w:id="54"/>
    </w:p>
    <w:tbl>
      <w:tblPr>
        <w:tblW w:w="8505" w:type="dxa"/>
        <w:tblCellMar>
          <w:left w:w="70" w:type="dxa"/>
          <w:right w:w="70" w:type="dxa"/>
        </w:tblCellMar>
        <w:tblLook w:val="04A0"/>
      </w:tblPr>
      <w:tblGrid>
        <w:gridCol w:w="3157"/>
        <w:gridCol w:w="2225"/>
        <w:gridCol w:w="1505"/>
        <w:gridCol w:w="1618"/>
      </w:tblGrid>
      <w:tr w:rsidR="00740020" w:rsidRPr="00A53CC8" w:rsidTr="00740020">
        <w:trPr>
          <w:trHeight w:val="246"/>
        </w:trPr>
        <w:tc>
          <w:tcPr>
            <w:tcW w:w="5382" w:type="dxa"/>
            <w:gridSpan w:val="2"/>
            <w:tcBorders>
              <w:top w:val="single" w:sz="4" w:space="0" w:color="auto"/>
              <w:left w:val="single" w:sz="4" w:space="0" w:color="auto"/>
              <w:bottom w:val="single" w:sz="4" w:space="0" w:color="152935"/>
              <w:right w:val="nil"/>
            </w:tcBorders>
            <w:shd w:val="clear" w:color="auto" w:fill="auto"/>
            <w:vAlign w:val="center"/>
            <w:hideMark/>
          </w:tcPr>
          <w:p w:rsidR="00740020" w:rsidRPr="00A53CC8" w:rsidRDefault="00740020" w:rsidP="00740020">
            <w:pPr>
              <w:spacing w:after="0" w:line="240" w:lineRule="auto"/>
              <w:jc w:val="left"/>
              <w:rPr>
                <w:rFonts w:ascii="Arial" w:eastAsia="Times New Roman" w:hAnsi="Arial" w:cs="Arial"/>
                <w:color w:val="264A60"/>
                <w:sz w:val="18"/>
                <w:szCs w:val="18"/>
                <w:lang w:eastAsia="cs-CZ"/>
              </w:rPr>
            </w:pPr>
            <w:r w:rsidRPr="00A53CC8">
              <w:rPr>
                <w:rFonts w:ascii="Arial" w:eastAsia="Times New Roman" w:hAnsi="Arial" w:cs="Arial"/>
                <w:color w:val="264A60"/>
                <w:sz w:val="18"/>
                <w:szCs w:val="18"/>
                <w:lang w:eastAsia="cs-CZ"/>
              </w:rPr>
              <w:t> </w:t>
            </w:r>
          </w:p>
        </w:tc>
        <w:tc>
          <w:tcPr>
            <w:tcW w:w="1505" w:type="dxa"/>
            <w:tcBorders>
              <w:top w:val="single" w:sz="4" w:space="0" w:color="auto"/>
              <w:left w:val="single" w:sz="4" w:space="0" w:color="auto"/>
              <w:bottom w:val="single" w:sz="4" w:space="0" w:color="152935"/>
              <w:right w:val="nil"/>
            </w:tcBorders>
            <w:shd w:val="clear" w:color="auto" w:fill="auto"/>
            <w:vAlign w:val="center"/>
            <w:hideMark/>
          </w:tcPr>
          <w:p w:rsidR="00740020" w:rsidRPr="00A53CC8" w:rsidRDefault="00740020" w:rsidP="00740020">
            <w:pPr>
              <w:spacing w:after="0" w:line="240" w:lineRule="auto"/>
              <w:jc w:val="center"/>
              <w:rPr>
                <w:rFonts w:ascii="Arial" w:eastAsia="Times New Roman" w:hAnsi="Arial" w:cs="Arial"/>
                <w:color w:val="264A60"/>
                <w:sz w:val="18"/>
                <w:szCs w:val="18"/>
                <w:lang w:eastAsia="cs-CZ"/>
              </w:rPr>
            </w:pPr>
            <w:r w:rsidRPr="00A53CC8">
              <w:rPr>
                <w:rFonts w:ascii="Arial" w:eastAsia="Times New Roman" w:hAnsi="Arial" w:cs="Arial"/>
                <w:color w:val="264A60"/>
                <w:sz w:val="18"/>
                <w:szCs w:val="18"/>
                <w:lang w:eastAsia="cs-CZ"/>
              </w:rPr>
              <w:t>Kladný VK</w:t>
            </w:r>
          </w:p>
        </w:tc>
        <w:tc>
          <w:tcPr>
            <w:tcW w:w="1618" w:type="dxa"/>
            <w:tcBorders>
              <w:top w:val="single" w:sz="4" w:space="0" w:color="auto"/>
              <w:left w:val="single" w:sz="4" w:space="0" w:color="E0E0E0"/>
              <w:bottom w:val="single" w:sz="4" w:space="0" w:color="152935"/>
              <w:right w:val="single" w:sz="4" w:space="0" w:color="auto"/>
            </w:tcBorders>
            <w:shd w:val="clear" w:color="auto" w:fill="auto"/>
            <w:vAlign w:val="center"/>
            <w:hideMark/>
          </w:tcPr>
          <w:p w:rsidR="00740020" w:rsidRPr="00A53CC8" w:rsidRDefault="00740020" w:rsidP="00740020">
            <w:pPr>
              <w:spacing w:after="0" w:line="240" w:lineRule="auto"/>
              <w:jc w:val="center"/>
              <w:rPr>
                <w:rFonts w:ascii="Arial" w:eastAsia="Times New Roman" w:hAnsi="Arial" w:cs="Arial"/>
                <w:color w:val="264A60"/>
                <w:sz w:val="18"/>
                <w:szCs w:val="18"/>
                <w:lang w:eastAsia="cs-CZ"/>
              </w:rPr>
            </w:pPr>
            <w:r w:rsidRPr="00A53CC8">
              <w:rPr>
                <w:rFonts w:ascii="Arial" w:eastAsia="Times New Roman" w:hAnsi="Arial" w:cs="Arial"/>
                <w:color w:val="264A60"/>
                <w:sz w:val="18"/>
                <w:szCs w:val="18"/>
                <w:lang w:eastAsia="cs-CZ"/>
              </w:rPr>
              <w:t>Záporný VK</w:t>
            </w:r>
          </w:p>
        </w:tc>
      </w:tr>
      <w:tr w:rsidR="00740020" w:rsidRPr="00A53CC8" w:rsidTr="00740020">
        <w:trPr>
          <w:trHeight w:val="198"/>
        </w:trPr>
        <w:tc>
          <w:tcPr>
            <w:tcW w:w="3157" w:type="dxa"/>
            <w:vMerge w:val="restart"/>
            <w:tcBorders>
              <w:top w:val="nil"/>
              <w:left w:val="single" w:sz="4" w:space="0" w:color="auto"/>
              <w:bottom w:val="single" w:sz="4" w:space="0" w:color="AEAEAE"/>
              <w:right w:val="nil"/>
            </w:tcBorders>
            <w:shd w:val="clear" w:color="000000" w:fill="E0E0E0"/>
            <w:vAlign w:val="center"/>
            <w:hideMark/>
          </w:tcPr>
          <w:p w:rsidR="00740020" w:rsidRPr="00A53CC8" w:rsidRDefault="00740020" w:rsidP="00740020">
            <w:pPr>
              <w:spacing w:after="0" w:line="240" w:lineRule="auto"/>
              <w:jc w:val="left"/>
              <w:rPr>
                <w:rFonts w:ascii="Arial" w:eastAsia="Times New Roman" w:hAnsi="Arial" w:cs="Arial"/>
                <w:b/>
                <w:bCs/>
                <w:color w:val="264A60"/>
                <w:sz w:val="18"/>
                <w:szCs w:val="18"/>
                <w:lang w:eastAsia="cs-CZ"/>
              </w:rPr>
            </w:pPr>
            <w:r w:rsidRPr="00A53CC8">
              <w:rPr>
                <w:rFonts w:ascii="Arial" w:eastAsia="Times New Roman" w:hAnsi="Arial" w:cs="Arial"/>
                <w:b/>
                <w:bCs/>
                <w:color w:val="264A60"/>
                <w:sz w:val="18"/>
                <w:szCs w:val="18"/>
                <w:lang w:eastAsia="cs-CZ"/>
              </w:rPr>
              <w:t>Polarita primární EBITDA</w:t>
            </w:r>
          </w:p>
        </w:tc>
        <w:tc>
          <w:tcPr>
            <w:tcW w:w="2225" w:type="dxa"/>
            <w:tcBorders>
              <w:top w:val="nil"/>
              <w:left w:val="nil"/>
              <w:bottom w:val="single" w:sz="4" w:space="0" w:color="AEAEAE"/>
              <w:right w:val="nil"/>
            </w:tcBorders>
            <w:shd w:val="clear" w:color="000000" w:fill="E0E0E0"/>
            <w:vAlign w:val="center"/>
            <w:hideMark/>
          </w:tcPr>
          <w:p w:rsidR="00740020" w:rsidRPr="00A53CC8" w:rsidRDefault="00740020" w:rsidP="00740020">
            <w:pPr>
              <w:spacing w:after="0" w:line="240" w:lineRule="auto"/>
              <w:jc w:val="left"/>
              <w:rPr>
                <w:rFonts w:ascii="Arial" w:eastAsia="Times New Roman" w:hAnsi="Arial" w:cs="Arial"/>
                <w:color w:val="264A60"/>
                <w:sz w:val="18"/>
                <w:szCs w:val="18"/>
                <w:lang w:eastAsia="cs-CZ"/>
              </w:rPr>
            </w:pPr>
            <w:r w:rsidRPr="00A53CC8">
              <w:rPr>
                <w:rFonts w:ascii="Arial" w:eastAsia="Times New Roman" w:hAnsi="Arial" w:cs="Arial"/>
                <w:color w:val="264A60"/>
                <w:sz w:val="18"/>
                <w:szCs w:val="18"/>
                <w:lang w:eastAsia="cs-CZ"/>
              </w:rPr>
              <w:t>Kladná primární EBITDA</w:t>
            </w:r>
          </w:p>
        </w:tc>
        <w:tc>
          <w:tcPr>
            <w:tcW w:w="1505" w:type="dxa"/>
            <w:tcBorders>
              <w:top w:val="nil"/>
              <w:left w:val="single" w:sz="4" w:space="0" w:color="auto"/>
              <w:bottom w:val="single" w:sz="4" w:space="0" w:color="AEAEAE"/>
              <w:right w:val="nil"/>
            </w:tcBorders>
            <w:shd w:val="clear" w:color="auto" w:fill="auto"/>
            <w:noWrap/>
            <w:vAlign w:val="center"/>
            <w:hideMark/>
          </w:tcPr>
          <w:p w:rsidR="00740020" w:rsidRPr="00A53CC8" w:rsidRDefault="00740020" w:rsidP="00740020">
            <w:pPr>
              <w:spacing w:after="0" w:line="240" w:lineRule="auto"/>
              <w:jc w:val="center"/>
              <w:rPr>
                <w:rFonts w:ascii="Arial" w:eastAsia="Times New Roman" w:hAnsi="Arial" w:cs="Arial"/>
                <w:color w:val="010205"/>
                <w:sz w:val="18"/>
                <w:szCs w:val="18"/>
                <w:lang w:eastAsia="cs-CZ"/>
              </w:rPr>
            </w:pPr>
            <w:r w:rsidRPr="00A53CC8">
              <w:rPr>
                <w:rFonts w:ascii="Arial" w:eastAsia="Times New Roman" w:hAnsi="Arial" w:cs="Arial"/>
                <w:color w:val="010205"/>
                <w:sz w:val="18"/>
                <w:szCs w:val="18"/>
                <w:lang w:eastAsia="cs-CZ"/>
              </w:rPr>
              <w:t>48,6</w:t>
            </w:r>
            <w:r>
              <w:rPr>
                <w:rFonts w:ascii="Arial" w:eastAsia="Times New Roman" w:hAnsi="Arial" w:cs="Arial"/>
                <w:color w:val="010205"/>
                <w:sz w:val="18"/>
                <w:szCs w:val="18"/>
                <w:lang w:eastAsia="cs-CZ"/>
              </w:rPr>
              <w:t xml:space="preserve"> </w:t>
            </w:r>
            <w:r w:rsidRPr="00A53CC8">
              <w:rPr>
                <w:rFonts w:ascii="Arial" w:eastAsia="Times New Roman" w:hAnsi="Arial" w:cs="Arial"/>
                <w:color w:val="010205"/>
                <w:sz w:val="18"/>
                <w:szCs w:val="18"/>
                <w:lang w:eastAsia="cs-CZ"/>
              </w:rPr>
              <w:t>%</w:t>
            </w:r>
          </w:p>
        </w:tc>
        <w:tc>
          <w:tcPr>
            <w:tcW w:w="1618" w:type="dxa"/>
            <w:tcBorders>
              <w:top w:val="nil"/>
              <w:left w:val="single" w:sz="4" w:space="0" w:color="E0E0E0"/>
              <w:bottom w:val="single" w:sz="4" w:space="0" w:color="AEAEAE"/>
              <w:right w:val="single" w:sz="4" w:space="0" w:color="auto"/>
            </w:tcBorders>
            <w:shd w:val="clear" w:color="auto" w:fill="auto"/>
            <w:noWrap/>
            <w:vAlign w:val="center"/>
            <w:hideMark/>
          </w:tcPr>
          <w:p w:rsidR="00740020" w:rsidRPr="00A53CC8" w:rsidRDefault="00740020" w:rsidP="00740020">
            <w:pPr>
              <w:spacing w:after="0" w:line="240" w:lineRule="auto"/>
              <w:jc w:val="center"/>
              <w:rPr>
                <w:rFonts w:ascii="Arial" w:eastAsia="Times New Roman" w:hAnsi="Arial" w:cs="Arial"/>
                <w:color w:val="010205"/>
                <w:sz w:val="18"/>
                <w:szCs w:val="18"/>
                <w:lang w:eastAsia="cs-CZ"/>
              </w:rPr>
            </w:pPr>
            <w:r w:rsidRPr="00A53CC8">
              <w:rPr>
                <w:rFonts w:ascii="Arial" w:eastAsia="Times New Roman" w:hAnsi="Arial" w:cs="Arial"/>
                <w:color w:val="010205"/>
                <w:sz w:val="18"/>
                <w:szCs w:val="18"/>
                <w:lang w:eastAsia="cs-CZ"/>
              </w:rPr>
              <w:t>25,0</w:t>
            </w:r>
            <w:r>
              <w:rPr>
                <w:rFonts w:ascii="Arial" w:eastAsia="Times New Roman" w:hAnsi="Arial" w:cs="Arial"/>
                <w:color w:val="010205"/>
                <w:sz w:val="18"/>
                <w:szCs w:val="18"/>
                <w:lang w:eastAsia="cs-CZ"/>
              </w:rPr>
              <w:t xml:space="preserve"> </w:t>
            </w:r>
            <w:r w:rsidRPr="00A53CC8">
              <w:rPr>
                <w:rFonts w:ascii="Arial" w:eastAsia="Times New Roman" w:hAnsi="Arial" w:cs="Arial"/>
                <w:color w:val="010205"/>
                <w:sz w:val="18"/>
                <w:szCs w:val="18"/>
                <w:lang w:eastAsia="cs-CZ"/>
              </w:rPr>
              <w:t>%</w:t>
            </w:r>
          </w:p>
        </w:tc>
      </w:tr>
      <w:tr w:rsidR="00740020" w:rsidRPr="00A53CC8" w:rsidTr="00740020">
        <w:trPr>
          <w:trHeight w:val="298"/>
        </w:trPr>
        <w:tc>
          <w:tcPr>
            <w:tcW w:w="3157" w:type="dxa"/>
            <w:vMerge/>
            <w:tcBorders>
              <w:top w:val="nil"/>
              <w:left w:val="single" w:sz="4" w:space="0" w:color="auto"/>
              <w:bottom w:val="single" w:sz="4" w:space="0" w:color="AEAEAE"/>
              <w:right w:val="nil"/>
            </w:tcBorders>
            <w:vAlign w:val="center"/>
            <w:hideMark/>
          </w:tcPr>
          <w:p w:rsidR="00740020" w:rsidRPr="00A53CC8" w:rsidRDefault="00740020" w:rsidP="00740020">
            <w:pPr>
              <w:spacing w:after="0" w:line="240" w:lineRule="auto"/>
              <w:jc w:val="left"/>
              <w:rPr>
                <w:rFonts w:ascii="Arial" w:eastAsia="Times New Roman" w:hAnsi="Arial" w:cs="Arial"/>
                <w:b/>
                <w:bCs/>
                <w:color w:val="264A60"/>
                <w:sz w:val="18"/>
                <w:szCs w:val="18"/>
                <w:lang w:eastAsia="cs-CZ"/>
              </w:rPr>
            </w:pPr>
          </w:p>
        </w:tc>
        <w:tc>
          <w:tcPr>
            <w:tcW w:w="2225" w:type="dxa"/>
            <w:tcBorders>
              <w:top w:val="nil"/>
              <w:left w:val="nil"/>
              <w:bottom w:val="single" w:sz="4" w:space="0" w:color="AEAEAE"/>
              <w:right w:val="nil"/>
            </w:tcBorders>
            <w:shd w:val="clear" w:color="000000" w:fill="E0E0E0"/>
            <w:vAlign w:val="center"/>
            <w:hideMark/>
          </w:tcPr>
          <w:p w:rsidR="00740020" w:rsidRPr="00A53CC8" w:rsidRDefault="00740020" w:rsidP="00740020">
            <w:pPr>
              <w:spacing w:after="0" w:line="240" w:lineRule="auto"/>
              <w:jc w:val="left"/>
              <w:rPr>
                <w:rFonts w:ascii="Arial" w:eastAsia="Times New Roman" w:hAnsi="Arial" w:cs="Arial"/>
                <w:color w:val="264A60"/>
                <w:sz w:val="18"/>
                <w:szCs w:val="18"/>
                <w:lang w:eastAsia="cs-CZ"/>
              </w:rPr>
            </w:pPr>
            <w:r w:rsidRPr="00A53CC8">
              <w:rPr>
                <w:rFonts w:ascii="Arial" w:eastAsia="Times New Roman" w:hAnsi="Arial" w:cs="Arial"/>
                <w:color w:val="264A60"/>
                <w:sz w:val="18"/>
                <w:szCs w:val="18"/>
                <w:lang w:eastAsia="cs-CZ"/>
              </w:rPr>
              <w:t>Záporná primární EBITDA</w:t>
            </w:r>
          </w:p>
        </w:tc>
        <w:tc>
          <w:tcPr>
            <w:tcW w:w="1505" w:type="dxa"/>
            <w:tcBorders>
              <w:top w:val="nil"/>
              <w:left w:val="single" w:sz="4" w:space="0" w:color="auto"/>
              <w:bottom w:val="single" w:sz="4" w:space="0" w:color="AEAEAE"/>
              <w:right w:val="nil"/>
            </w:tcBorders>
            <w:shd w:val="clear" w:color="auto" w:fill="auto"/>
            <w:noWrap/>
            <w:vAlign w:val="center"/>
            <w:hideMark/>
          </w:tcPr>
          <w:p w:rsidR="00740020" w:rsidRPr="00033386" w:rsidRDefault="00740020" w:rsidP="00740020">
            <w:pPr>
              <w:spacing w:after="0" w:line="240" w:lineRule="auto"/>
              <w:jc w:val="center"/>
              <w:rPr>
                <w:rFonts w:ascii="Arial" w:eastAsia="Times New Roman" w:hAnsi="Arial" w:cs="Arial"/>
                <w:b/>
                <w:color w:val="010205"/>
                <w:sz w:val="18"/>
                <w:szCs w:val="18"/>
                <w:lang w:eastAsia="cs-CZ"/>
              </w:rPr>
            </w:pPr>
            <w:r w:rsidRPr="00033386">
              <w:rPr>
                <w:rFonts w:ascii="Arial" w:eastAsia="Times New Roman" w:hAnsi="Arial" w:cs="Arial"/>
                <w:b/>
                <w:color w:val="010205"/>
                <w:sz w:val="18"/>
                <w:szCs w:val="18"/>
                <w:lang w:eastAsia="cs-CZ"/>
              </w:rPr>
              <w:t>51,4</w:t>
            </w:r>
            <w:r>
              <w:rPr>
                <w:rFonts w:ascii="Arial" w:eastAsia="Times New Roman" w:hAnsi="Arial" w:cs="Arial"/>
                <w:b/>
                <w:color w:val="010205"/>
                <w:sz w:val="18"/>
                <w:szCs w:val="18"/>
                <w:lang w:eastAsia="cs-CZ"/>
              </w:rPr>
              <w:t xml:space="preserve"> </w:t>
            </w:r>
            <w:r w:rsidRPr="00033386">
              <w:rPr>
                <w:rFonts w:ascii="Arial" w:eastAsia="Times New Roman" w:hAnsi="Arial" w:cs="Arial"/>
                <w:b/>
                <w:color w:val="010205"/>
                <w:sz w:val="18"/>
                <w:szCs w:val="18"/>
                <w:lang w:eastAsia="cs-CZ"/>
              </w:rPr>
              <w:t>%</w:t>
            </w:r>
          </w:p>
        </w:tc>
        <w:tc>
          <w:tcPr>
            <w:tcW w:w="1618" w:type="dxa"/>
            <w:tcBorders>
              <w:top w:val="nil"/>
              <w:left w:val="single" w:sz="4" w:space="0" w:color="E0E0E0"/>
              <w:bottom w:val="single" w:sz="4" w:space="0" w:color="AEAEAE"/>
              <w:right w:val="single" w:sz="4" w:space="0" w:color="auto"/>
            </w:tcBorders>
            <w:shd w:val="clear" w:color="auto" w:fill="auto"/>
            <w:noWrap/>
            <w:vAlign w:val="center"/>
            <w:hideMark/>
          </w:tcPr>
          <w:p w:rsidR="00740020" w:rsidRPr="00F30CEF" w:rsidRDefault="00740020" w:rsidP="00740020">
            <w:pPr>
              <w:spacing w:after="0" w:line="240" w:lineRule="auto"/>
              <w:jc w:val="center"/>
              <w:rPr>
                <w:rFonts w:ascii="Arial" w:eastAsia="Times New Roman" w:hAnsi="Arial" w:cs="Arial"/>
                <w:b/>
                <w:color w:val="010205"/>
                <w:sz w:val="18"/>
                <w:szCs w:val="18"/>
                <w:lang w:eastAsia="cs-CZ"/>
              </w:rPr>
            </w:pPr>
            <w:r w:rsidRPr="00F30CEF">
              <w:rPr>
                <w:rFonts w:ascii="Arial" w:eastAsia="Times New Roman" w:hAnsi="Arial" w:cs="Arial"/>
                <w:b/>
                <w:color w:val="010205"/>
                <w:sz w:val="18"/>
                <w:szCs w:val="18"/>
                <w:lang w:eastAsia="cs-CZ"/>
              </w:rPr>
              <w:t>75,0</w:t>
            </w:r>
            <w:r>
              <w:rPr>
                <w:rFonts w:ascii="Arial" w:eastAsia="Times New Roman" w:hAnsi="Arial" w:cs="Arial"/>
                <w:b/>
                <w:color w:val="010205"/>
                <w:sz w:val="18"/>
                <w:szCs w:val="18"/>
                <w:lang w:eastAsia="cs-CZ"/>
              </w:rPr>
              <w:t xml:space="preserve"> </w:t>
            </w:r>
            <w:r w:rsidRPr="00F30CEF">
              <w:rPr>
                <w:rFonts w:ascii="Arial" w:eastAsia="Times New Roman" w:hAnsi="Arial" w:cs="Arial"/>
                <w:b/>
                <w:color w:val="010205"/>
                <w:sz w:val="18"/>
                <w:szCs w:val="18"/>
                <w:lang w:eastAsia="cs-CZ"/>
              </w:rPr>
              <w:t>%</w:t>
            </w:r>
          </w:p>
        </w:tc>
      </w:tr>
      <w:tr w:rsidR="00740020" w:rsidRPr="00A53CC8" w:rsidTr="00740020">
        <w:trPr>
          <w:trHeight w:val="198"/>
        </w:trPr>
        <w:tc>
          <w:tcPr>
            <w:tcW w:w="3157" w:type="dxa"/>
            <w:vMerge w:val="restart"/>
            <w:tcBorders>
              <w:top w:val="single" w:sz="4" w:space="0" w:color="152935"/>
              <w:left w:val="single" w:sz="4" w:space="0" w:color="auto"/>
              <w:bottom w:val="single" w:sz="4" w:space="0" w:color="AEAEAE"/>
              <w:right w:val="nil"/>
            </w:tcBorders>
            <w:shd w:val="clear" w:color="000000" w:fill="E0E0E0"/>
            <w:vAlign w:val="center"/>
            <w:hideMark/>
          </w:tcPr>
          <w:p w:rsidR="00740020" w:rsidRPr="00A53CC8" w:rsidRDefault="00740020" w:rsidP="00740020">
            <w:pPr>
              <w:spacing w:after="0" w:line="240" w:lineRule="auto"/>
              <w:jc w:val="left"/>
              <w:rPr>
                <w:rFonts w:ascii="Arial" w:eastAsia="Times New Roman" w:hAnsi="Arial" w:cs="Arial"/>
                <w:b/>
                <w:bCs/>
                <w:color w:val="264A60"/>
                <w:sz w:val="18"/>
                <w:szCs w:val="18"/>
                <w:lang w:eastAsia="cs-CZ"/>
              </w:rPr>
            </w:pPr>
            <w:r w:rsidRPr="00A53CC8">
              <w:rPr>
                <w:rFonts w:ascii="Arial" w:eastAsia="Times New Roman" w:hAnsi="Arial" w:cs="Arial"/>
                <w:b/>
                <w:bCs/>
                <w:color w:val="264A60"/>
                <w:sz w:val="18"/>
                <w:szCs w:val="18"/>
                <w:lang w:eastAsia="cs-CZ"/>
              </w:rPr>
              <w:t>Polarita deficitu nutné hotovosti</w:t>
            </w:r>
          </w:p>
        </w:tc>
        <w:tc>
          <w:tcPr>
            <w:tcW w:w="2225" w:type="dxa"/>
            <w:tcBorders>
              <w:top w:val="single" w:sz="4" w:space="0" w:color="152935"/>
              <w:left w:val="nil"/>
              <w:bottom w:val="single" w:sz="4" w:space="0" w:color="AEAEAE"/>
              <w:right w:val="nil"/>
            </w:tcBorders>
            <w:shd w:val="clear" w:color="000000" w:fill="E0E0E0"/>
            <w:vAlign w:val="center"/>
            <w:hideMark/>
          </w:tcPr>
          <w:p w:rsidR="00740020" w:rsidRPr="00A53CC8" w:rsidRDefault="00740020" w:rsidP="00740020">
            <w:pPr>
              <w:spacing w:after="0" w:line="240" w:lineRule="auto"/>
              <w:jc w:val="left"/>
              <w:rPr>
                <w:rFonts w:ascii="Arial" w:eastAsia="Times New Roman" w:hAnsi="Arial" w:cs="Arial"/>
                <w:color w:val="264A60"/>
                <w:sz w:val="18"/>
                <w:szCs w:val="18"/>
                <w:lang w:eastAsia="cs-CZ"/>
              </w:rPr>
            </w:pPr>
            <w:r w:rsidRPr="00A53CC8">
              <w:rPr>
                <w:rFonts w:ascii="Arial" w:eastAsia="Times New Roman" w:hAnsi="Arial" w:cs="Arial"/>
                <w:color w:val="264A60"/>
                <w:sz w:val="18"/>
                <w:szCs w:val="18"/>
                <w:lang w:eastAsia="cs-CZ"/>
              </w:rPr>
              <w:t>Přebytek nutné hotovosti</w:t>
            </w:r>
          </w:p>
        </w:tc>
        <w:tc>
          <w:tcPr>
            <w:tcW w:w="1505" w:type="dxa"/>
            <w:tcBorders>
              <w:top w:val="single" w:sz="4" w:space="0" w:color="152935"/>
              <w:left w:val="single" w:sz="4" w:space="0" w:color="auto"/>
              <w:bottom w:val="single" w:sz="4" w:space="0" w:color="AEAEAE"/>
              <w:right w:val="nil"/>
            </w:tcBorders>
            <w:shd w:val="clear" w:color="auto" w:fill="auto"/>
            <w:noWrap/>
            <w:vAlign w:val="center"/>
            <w:hideMark/>
          </w:tcPr>
          <w:p w:rsidR="00740020" w:rsidRPr="00A53CC8" w:rsidRDefault="00740020" w:rsidP="00740020">
            <w:pPr>
              <w:spacing w:after="0" w:line="240" w:lineRule="auto"/>
              <w:jc w:val="center"/>
              <w:rPr>
                <w:rFonts w:ascii="Arial" w:eastAsia="Times New Roman" w:hAnsi="Arial" w:cs="Arial"/>
                <w:color w:val="010205"/>
                <w:sz w:val="18"/>
                <w:szCs w:val="18"/>
                <w:lang w:eastAsia="cs-CZ"/>
              </w:rPr>
            </w:pPr>
            <w:r w:rsidRPr="00A53CC8">
              <w:rPr>
                <w:rFonts w:ascii="Arial" w:eastAsia="Times New Roman" w:hAnsi="Arial" w:cs="Arial"/>
                <w:color w:val="010205"/>
                <w:sz w:val="18"/>
                <w:szCs w:val="18"/>
                <w:lang w:eastAsia="cs-CZ"/>
              </w:rPr>
              <w:t>10,0</w:t>
            </w:r>
            <w:r>
              <w:rPr>
                <w:rFonts w:ascii="Arial" w:eastAsia="Times New Roman" w:hAnsi="Arial" w:cs="Arial"/>
                <w:color w:val="010205"/>
                <w:sz w:val="18"/>
                <w:szCs w:val="18"/>
                <w:lang w:eastAsia="cs-CZ"/>
              </w:rPr>
              <w:t xml:space="preserve"> </w:t>
            </w:r>
            <w:r w:rsidRPr="00A53CC8">
              <w:rPr>
                <w:rFonts w:ascii="Arial" w:eastAsia="Times New Roman" w:hAnsi="Arial" w:cs="Arial"/>
                <w:color w:val="010205"/>
                <w:sz w:val="18"/>
                <w:szCs w:val="18"/>
                <w:lang w:eastAsia="cs-CZ"/>
              </w:rPr>
              <w:t>%</w:t>
            </w:r>
          </w:p>
        </w:tc>
        <w:tc>
          <w:tcPr>
            <w:tcW w:w="1618" w:type="dxa"/>
            <w:tcBorders>
              <w:top w:val="single" w:sz="4" w:space="0" w:color="152935"/>
              <w:left w:val="single" w:sz="4" w:space="0" w:color="E0E0E0"/>
              <w:bottom w:val="single" w:sz="4" w:space="0" w:color="AEAEAE"/>
              <w:right w:val="single" w:sz="4" w:space="0" w:color="auto"/>
            </w:tcBorders>
            <w:shd w:val="clear" w:color="auto" w:fill="auto"/>
            <w:noWrap/>
            <w:vAlign w:val="center"/>
            <w:hideMark/>
          </w:tcPr>
          <w:p w:rsidR="00740020" w:rsidRPr="00A53CC8" w:rsidRDefault="00740020" w:rsidP="00740020">
            <w:pPr>
              <w:spacing w:after="0" w:line="240" w:lineRule="auto"/>
              <w:jc w:val="center"/>
              <w:rPr>
                <w:rFonts w:ascii="Arial" w:eastAsia="Times New Roman" w:hAnsi="Arial" w:cs="Arial"/>
                <w:color w:val="010205"/>
                <w:sz w:val="18"/>
                <w:szCs w:val="18"/>
                <w:lang w:eastAsia="cs-CZ"/>
              </w:rPr>
            </w:pPr>
            <w:r w:rsidRPr="00A53CC8">
              <w:rPr>
                <w:rFonts w:ascii="Arial" w:eastAsia="Times New Roman" w:hAnsi="Arial" w:cs="Arial"/>
                <w:color w:val="010205"/>
                <w:sz w:val="18"/>
                <w:szCs w:val="18"/>
                <w:lang w:eastAsia="cs-CZ"/>
              </w:rPr>
              <w:t>3,6</w:t>
            </w:r>
            <w:r>
              <w:rPr>
                <w:rFonts w:ascii="Arial" w:eastAsia="Times New Roman" w:hAnsi="Arial" w:cs="Arial"/>
                <w:color w:val="010205"/>
                <w:sz w:val="18"/>
                <w:szCs w:val="18"/>
                <w:lang w:eastAsia="cs-CZ"/>
              </w:rPr>
              <w:t xml:space="preserve"> </w:t>
            </w:r>
            <w:r w:rsidRPr="00A53CC8">
              <w:rPr>
                <w:rFonts w:ascii="Arial" w:eastAsia="Times New Roman" w:hAnsi="Arial" w:cs="Arial"/>
                <w:color w:val="010205"/>
                <w:sz w:val="18"/>
                <w:szCs w:val="18"/>
                <w:lang w:eastAsia="cs-CZ"/>
              </w:rPr>
              <w:t>%</w:t>
            </w:r>
          </w:p>
        </w:tc>
      </w:tr>
      <w:tr w:rsidR="00740020" w:rsidRPr="00A53CC8" w:rsidTr="00740020">
        <w:trPr>
          <w:trHeight w:val="373"/>
        </w:trPr>
        <w:tc>
          <w:tcPr>
            <w:tcW w:w="3157" w:type="dxa"/>
            <w:vMerge/>
            <w:tcBorders>
              <w:top w:val="single" w:sz="4" w:space="0" w:color="152935"/>
              <w:left w:val="single" w:sz="4" w:space="0" w:color="auto"/>
              <w:bottom w:val="single" w:sz="4" w:space="0" w:color="AEAEAE"/>
              <w:right w:val="nil"/>
            </w:tcBorders>
            <w:vAlign w:val="center"/>
            <w:hideMark/>
          </w:tcPr>
          <w:p w:rsidR="00740020" w:rsidRPr="00A53CC8" w:rsidRDefault="00740020" w:rsidP="00740020">
            <w:pPr>
              <w:spacing w:after="0" w:line="240" w:lineRule="auto"/>
              <w:jc w:val="left"/>
              <w:rPr>
                <w:rFonts w:ascii="Arial" w:eastAsia="Times New Roman" w:hAnsi="Arial" w:cs="Arial"/>
                <w:b/>
                <w:bCs/>
                <w:color w:val="264A60"/>
                <w:sz w:val="18"/>
                <w:szCs w:val="18"/>
                <w:lang w:eastAsia="cs-CZ"/>
              </w:rPr>
            </w:pPr>
          </w:p>
        </w:tc>
        <w:tc>
          <w:tcPr>
            <w:tcW w:w="2225" w:type="dxa"/>
            <w:tcBorders>
              <w:top w:val="nil"/>
              <w:left w:val="nil"/>
              <w:bottom w:val="single" w:sz="4" w:space="0" w:color="AEAEAE"/>
              <w:right w:val="nil"/>
            </w:tcBorders>
            <w:shd w:val="clear" w:color="000000" w:fill="E0E0E0"/>
            <w:vAlign w:val="center"/>
            <w:hideMark/>
          </w:tcPr>
          <w:p w:rsidR="00740020" w:rsidRPr="00A53CC8" w:rsidRDefault="00740020" w:rsidP="00740020">
            <w:pPr>
              <w:spacing w:after="0" w:line="240" w:lineRule="auto"/>
              <w:jc w:val="left"/>
              <w:rPr>
                <w:rFonts w:ascii="Arial" w:eastAsia="Times New Roman" w:hAnsi="Arial" w:cs="Arial"/>
                <w:color w:val="264A60"/>
                <w:sz w:val="18"/>
                <w:szCs w:val="18"/>
                <w:lang w:eastAsia="cs-CZ"/>
              </w:rPr>
            </w:pPr>
            <w:r w:rsidRPr="00A53CC8">
              <w:rPr>
                <w:rFonts w:ascii="Arial" w:eastAsia="Times New Roman" w:hAnsi="Arial" w:cs="Arial"/>
                <w:color w:val="264A60"/>
                <w:sz w:val="18"/>
                <w:szCs w:val="18"/>
                <w:lang w:eastAsia="cs-CZ"/>
              </w:rPr>
              <w:t xml:space="preserve">Deficit nutné hotovosti </w:t>
            </w:r>
          </w:p>
        </w:tc>
        <w:tc>
          <w:tcPr>
            <w:tcW w:w="1505" w:type="dxa"/>
            <w:tcBorders>
              <w:top w:val="nil"/>
              <w:left w:val="single" w:sz="4" w:space="0" w:color="auto"/>
              <w:bottom w:val="single" w:sz="4" w:space="0" w:color="AEAEAE"/>
              <w:right w:val="nil"/>
            </w:tcBorders>
            <w:shd w:val="clear" w:color="auto" w:fill="auto"/>
            <w:noWrap/>
            <w:vAlign w:val="center"/>
            <w:hideMark/>
          </w:tcPr>
          <w:p w:rsidR="00740020" w:rsidRPr="00033386" w:rsidRDefault="00740020" w:rsidP="00740020">
            <w:pPr>
              <w:spacing w:after="0" w:line="240" w:lineRule="auto"/>
              <w:jc w:val="center"/>
              <w:rPr>
                <w:rFonts w:ascii="Arial" w:eastAsia="Times New Roman" w:hAnsi="Arial" w:cs="Arial"/>
                <w:b/>
                <w:color w:val="010205"/>
                <w:sz w:val="18"/>
                <w:szCs w:val="18"/>
                <w:lang w:eastAsia="cs-CZ"/>
              </w:rPr>
            </w:pPr>
            <w:r w:rsidRPr="00033386">
              <w:rPr>
                <w:rFonts w:ascii="Arial" w:eastAsia="Times New Roman" w:hAnsi="Arial" w:cs="Arial"/>
                <w:b/>
                <w:color w:val="010205"/>
                <w:sz w:val="18"/>
                <w:szCs w:val="18"/>
                <w:lang w:eastAsia="cs-CZ"/>
              </w:rPr>
              <w:t>90,0</w:t>
            </w:r>
            <w:r>
              <w:rPr>
                <w:rFonts w:ascii="Arial" w:eastAsia="Times New Roman" w:hAnsi="Arial" w:cs="Arial"/>
                <w:b/>
                <w:color w:val="010205"/>
                <w:sz w:val="18"/>
                <w:szCs w:val="18"/>
                <w:lang w:eastAsia="cs-CZ"/>
              </w:rPr>
              <w:t xml:space="preserve"> </w:t>
            </w:r>
            <w:r w:rsidRPr="00033386">
              <w:rPr>
                <w:rFonts w:ascii="Arial" w:eastAsia="Times New Roman" w:hAnsi="Arial" w:cs="Arial"/>
                <w:b/>
                <w:color w:val="010205"/>
                <w:sz w:val="18"/>
                <w:szCs w:val="18"/>
                <w:lang w:eastAsia="cs-CZ"/>
              </w:rPr>
              <w:t>%</w:t>
            </w:r>
          </w:p>
        </w:tc>
        <w:tc>
          <w:tcPr>
            <w:tcW w:w="1618" w:type="dxa"/>
            <w:tcBorders>
              <w:top w:val="nil"/>
              <w:left w:val="single" w:sz="4" w:space="0" w:color="E0E0E0"/>
              <w:bottom w:val="single" w:sz="4" w:space="0" w:color="AEAEAE"/>
              <w:right w:val="single" w:sz="4" w:space="0" w:color="auto"/>
            </w:tcBorders>
            <w:shd w:val="clear" w:color="auto" w:fill="auto"/>
            <w:noWrap/>
            <w:vAlign w:val="center"/>
            <w:hideMark/>
          </w:tcPr>
          <w:p w:rsidR="00740020" w:rsidRPr="00F30CEF" w:rsidRDefault="00740020" w:rsidP="00740020">
            <w:pPr>
              <w:spacing w:after="0" w:line="240" w:lineRule="auto"/>
              <w:jc w:val="center"/>
              <w:rPr>
                <w:rFonts w:ascii="Arial" w:eastAsia="Times New Roman" w:hAnsi="Arial" w:cs="Arial"/>
                <w:b/>
                <w:color w:val="010205"/>
                <w:sz w:val="18"/>
                <w:szCs w:val="18"/>
                <w:lang w:eastAsia="cs-CZ"/>
              </w:rPr>
            </w:pPr>
            <w:r w:rsidRPr="00F30CEF">
              <w:rPr>
                <w:rFonts w:ascii="Arial" w:eastAsia="Times New Roman" w:hAnsi="Arial" w:cs="Arial"/>
                <w:b/>
                <w:color w:val="010205"/>
                <w:sz w:val="18"/>
                <w:szCs w:val="18"/>
                <w:lang w:eastAsia="cs-CZ"/>
              </w:rPr>
              <w:t>96,4</w:t>
            </w:r>
            <w:r>
              <w:rPr>
                <w:rFonts w:ascii="Arial" w:eastAsia="Times New Roman" w:hAnsi="Arial" w:cs="Arial"/>
                <w:b/>
                <w:color w:val="010205"/>
                <w:sz w:val="18"/>
                <w:szCs w:val="18"/>
                <w:lang w:eastAsia="cs-CZ"/>
              </w:rPr>
              <w:t xml:space="preserve"> </w:t>
            </w:r>
            <w:r w:rsidRPr="00F30CEF">
              <w:rPr>
                <w:rFonts w:ascii="Arial" w:eastAsia="Times New Roman" w:hAnsi="Arial" w:cs="Arial"/>
                <w:b/>
                <w:color w:val="010205"/>
                <w:sz w:val="18"/>
                <w:szCs w:val="18"/>
                <w:lang w:eastAsia="cs-CZ"/>
              </w:rPr>
              <w:t>%</w:t>
            </w:r>
          </w:p>
        </w:tc>
      </w:tr>
      <w:tr w:rsidR="00740020" w:rsidRPr="00A53CC8" w:rsidTr="00740020">
        <w:trPr>
          <w:trHeight w:val="296"/>
        </w:trPr>
        <w:tc>
          <w:tcPr>
            <w:tcW w:w="3157" w:type="dxa"/>
            <w:vMerge w:val="restart"/>
            <w:tcBorders>
              <w:top w:val="single" w:sz="4" w:space="0" w:color="152935"/>
              <w:left w:val="single" w:sz="4" w:space="0" w:color="auto"/>
              <w:bottom w:val="single" w:sz="4" w:space="0" w:color="000000"/>
              <w:right w:val="nil"/>
            </w:tcBorders>
            <w:shd w:val="clear" w:color="000000" w:fill="E0E0E0"/>
            <w:vAlign w:val="center"/>
            <w:hideMark/>
          </w:tcPr>
          <w:p w:rsidR="00740020" w:rsidRPr="00A53CC8" w:rsidRDefault="00740020" w:rsidP="00740020">
            <w:pPr>
              <w:spacing w:after="0" w:line="240" w:lineRule="auto"/>
              <w:jc w:val="left"/>
              <w:rPr>
                <w:rFonts w:ascii="Arial" w:eastAsia="Times New Roman" w:hAnsi="Arial" w:cs="Arial"/>
                <w:b/>
                <w:bCs/>
                <w:color w:val="264A60"/>
                <w:sz w:val="18"/>
                <w:szCs w:val="18"/>
                <w:lang w:eastAsia="cs-CZ"/>
              </w:rPr>
            </w:pPr>
            <w:r w:rsidRPr="00A53CC8">
              <w:rPr>
                <w:rFonts w:ascii="Arial" w:eastAsia="Times New Roman" w:hAnsi="Arial" w:cs="Arial"/>
                <w:b/>
                <w:bCs/>
                <w:color w:val="264A60"/>
                <w:sz w:val="18"/>
                <w:szCs w:val="18"/>
                <w:lang w:eastAsia="cs-CZ"/>
              </w:rPr>
              <w:t>Polarita salda primárních NS PK</w:t>
            </w:r>
          </w:p>
        </w:tc>
        <w:tc>
          <w:tcPr>
            <w:tcW w:w="2225" w:type="dxa"/>
            <w:tcBorders>
              <w:top w:val="single" w:sz="4" w:space="0" w:color="152935"/>
              <w:left w:val="nil"/>
              <w:bottom w:val="single" w:sz="4" w:space="0" w:color="AEAEAE"/>
              <w:right w:val="nil"/>
            </w:tcBorders>
            <w:shd w:val="clear" w:color="000000" w:fill="E0E0E0"/>
            <w:vAlign w:val="center"/>
            <w:hideMark/>
          </w:tcPr>
          <w:p w:rsidR="00740020" w:rsidRPr="00A53CC8" w:rsidRDefault="00740020" w:rsidP="00740020">
            <w:pPr>
              <w:spacing w:after="0" w:line="240" w:lineRule="auto"/>
              <w:jc w:val="left"/>
              <w:rPr>
                <w:rFonts w:ascii="Arial" w:eastAsia="Times New Roman" w:hAnsi="Arial" w:cs="Arial"/>
                <w:color w:val="264A60"/>
                <w:sz w:val="18"/>
                <w:szCs w:val="18"/>
                <w:lang w:eastAsia="cs-CZ"/>
              </w:rPr>
            </w:pPr>
            <w:r w:rsidRPr="00A53CC8">
              <w:rPr>
                <w:rFonts w:ascii="Arial" w:eastAsia="Times New Roman" w:hAnsi="Arial" w:cs="Arial"/>
                <w:color w:val="264A60"/>
                <w:sz w:val="18"/>
                <w:szCs w:val="18"/>
                <w:lang w:eastAsia="cs-CZ"/>
              </w:rPr>
              <w:t>Kladné primární NS PK</w:t>
            </w:r>
          </w:p>
        </w:tc>
        <w:tc>
          <w:tcPr>
            <w:tcW w:w="1505" w:type="dxa"/>
            <w:tcBorders>
              <w:top w:val="single" w:sz="4" w:space="0" w:color="152935"/>
              <w:left w:val="single" w:sz="4" w:space="0" w:color="auto"/>
              <w:bottom w:val="single" w:sz="4" w:space="0" w:color="AEAEAE"/>
              <w:right w:val="nil"/>
            </w:tcBorders>
            <w:shd w:val="clear" w:color="auto" w:fill="auto"/>
            <w:noWrap/>
            <w:vAlign w:val="center"/>
            <w:hideMark/>
          </w:tcPr>
          <w:p w:rsidR="00740020" w:rsidRPr="00033386" w:rsidRDefault="00740020" w:rsidP="00740020">
            <w:pPr>
              <w:spacing w:after="0" w:line="240" w:lineRule="auto"/>
              <w:jc w:val="center"/>
              <w:rPr>
                <w:rFonts w:ascii="Arial" w:eastAsia="Times New Roman" w:hAnsi="Arial" w:cs="Arial"/>
                <w:b/>
                <w:color w:val="010205"/>
                <w:sz w:val="18"/>
                <w:szCs w:val="18"/>
                <w:lang w:eastAsia="cs-CZ"/>
              </w:rPr>
            </w:pPr>
            <w:r w:rsidRPr="00033386">
              <w:rPr>
                <w:rFonts w:ascii="Arial" w:eastAsia="Times New Roman" w:hAnsi="Arial" w:cs="Arial"/>
                <w:b/>
                <w:color w:val="010205"/>
                <w:sz w:val="18"/>
                <w:szCs w:val="18"/>
                <w:lang w:eastAsia="cs-CZ"/>
              </w:rPr>
              <w:t>62,9</w:t>
            </w:r>
            <w:r>
              <w:rPr>
                <w:rFonts w:ascii="Arial" w:eastAsia="Times New Roman" w:hAnsi="Arial" w:cs="Arial"/>
                <w:b/>
                <w:color w:val="010205"/>
                <w:sz w:val="18"/>
                <w:szCs w:val="18"/>
                <w:lang w:eastAsia="cs-CZ"/>
              </w:rPr>
              <w:t xml:space="preserve"> </w:t>
            </w:r>
            <w:r w:rsidRPr="00033386">
              <w:rPr>
                <w:rFonts w:ascii="Arial" w:eastAsia="Times New Roman" w:hAnsi="Arial" w:cs="Arial"/>
                <w:b/>
                <w:color w:val="010205"/>
                <w:sz w:val="18"/>
                <w:szCs w:val="18"/>
                <w:lang w:eastAsia="cs-CZ"/>
              </w:rPr>
              <w:t>%</w:t>
            </w:r>
          </w:p>
        </w:tc>
        <w:tc>
          <w:tcPr>
            <w:tcW w:w="1618" w:type="dxa"/>
            <w:tcBorders>
              <w:top w:val="single" w:sz="4" w:space="0" w:color="152935"/>
              <w:left w:val="single" w:sz="4" w:space="0" w:color="E0E0E0"/>
              <w:bottom w:val="single" w:sz="4" w:space="0" w:color="AEAEAE"/>
              <w:right w:val="single" w:sz="4" w:space="0" w:color="auto"/>
            </w:tcBorders>
            <w:shd w:val="clear" w:color="auto" w:fill="auto"/>
            <w:noWrap/>
            <w:vAlign w:val="center"/>
            <w:hideMark/>
          </w:tcPr>
          <w:p w:rsidR="00740020" w:rsidRPr="00A53CC8" w:rsidRDefault="00740020" w:rsidP="00740020">
            <w:pPr>
              <w:spacing w:after="0" w:line="240" w:lineRule="auto"/>
              <w:jc w:val="center"/>
              <w:rPr>
                <w:rFonts w:ascii="Arial" w:eastAsia="Times New Roman" w:hAnsi="Arial" w:cs="Arial"/>
                <w:color w:val="010205"/>
                <w:sz w:val="18"/>
                <w:szCs w:val="18"/>
                <w:lang w:eastAsia="cs-CZ"/>
              </w:rPr>
            </w:pPr>
            <w:r w:rsidRPr="00A53CC8">
              <w:rPr>
                <w:rFonts w:ascii="Arial" w:eastAsia="Times New Roman" w:hAnsi="Arial" w:cs="Arial"/>
                <w:color w:val="010205"/>
                <w:sz w:val="18"/>
                <w:szCs w:val="18"/>
                <w:lang w:eastAsia="cs-CZ"/>
              </w:rPr>
              <w:t>35,7</w:t>
            </w:r>
            <w:r>
              <w:rPr>
                <w:rFonts w:ascii="Arial" w:eastAsia="Times New Roman" w:hAnsi="Arial" w:cs="Arial"/>
                <w:color w:val="010205"/>
                <w:sz w:val="18"/>
                <w:szCs w:val="18"/>
                <w:lang w:eastAsia="cs-CZ"/>
              </w:rPr>
              <w:t xml:space="preserve"> </w:t>
            </w:r>
            <w:r w:rsidRPr="00A53CC8">
              <w:rPr>
                <w:rFonts w:ascii="Arial" w:eastAsia="Times New Roman" w:hAnsi="Arial" w:cs="Arial"/>
                <w:color w:val="010205"/>
                <w:sz w:val="18"/>
                <w:szCs w:val="18"/>
                <w:lang w:eastAsia="cs-CZ"/>
              </w:rPr>
              <w:t>%</w:t>
            </w:r>
          </w:p>
        </w:tc>
      </w:tr>
      <w:tr w:rsidR="00740020" w:rsidRPr="00A53CC8" w:rsidTr="00740020">
        <w:trPr>
          <w:trHeight w:val="198"/>
        </w:trPr>
        <w:tc>
          <w:tcPr>
            <w:tcW w:w="3157" w:type="dxa"/>
            <w:vMerge/>
            <w:tcBorders>
              <w:top w:val="single" w:sz="4" w:space="0" w:color="152935"/>
              <w:left w:val="single" w:sz="4" w:space="0" w:color="auto"/>
              <w:bottom w:val="single" w:sz="4" w:space="0" w:color="auto"/>
              <w:right w:val="nil"/>
            </w:tcBorders>
            <w:vAlign w:val="center"/>
            <w:hideMark/>
          </w:tcPr>
          <w:p w:rsidR="00740020" w:rsidRPr="00A53CC8" w:rsidRDefault="00740020" w:rsidP="00740020">
            <w:pPr>
              <w:spacing w:after="0" w:line="240" w:lineRule="auto"/>
              <w:jc w:val="left"/>
              <w:rPr>
                <w:rFonts w:ascii="Arial" w:eastAsia="Times New Roman" w:hAnsi="Arial" w:cs="Arial"/>
                <w:b/>
                <w:bCs/>
                <w:color w:val="264A60"/>
                <w:sz w:val="18"/>
                <w:szCs w:val="18"/>
                <w:lang w:eastAsia="cs-CZ"/>
              </w:rPr>
            </w:pPr>
          </w:p>
        </w:tc>
        <w:tc>
          <w:tcPr>
            <w:tcW w:w="2225" w:type="dxa"/>
            <w:tcBorders>
              <w:top w:val="nil"/>
              <w:left w:val="nil"/>
              <w:bottom w:val="single" w:sz="4" w:space="0" w:color="auto"/>
              <w:right w:val="nil"/>
            </w:tcBorders>
            <w:shd w:val="clear" w:color="000000" w:fill="E0E0E0"/>
            <w:vAlign w:val="center"/>
            <w:hideMark/>
          </w:tcPr>
          <w:p w:rsidR="00740020" w:rsidRPr="00A53CC8" w:rsidRDefault="00740020" w:rsidP="00740020">
            <w:pPr>
              <w:spacing w:after="0" w:line="240" w:lineRule="auto"/>
              <w:jc w:val="left"/>
              <w:rPr>
                <w:rFonts w:ascii="Arial" w:eastAsia="Times New Roman" w:hAnsi="Arial" w:cs="Arial"/>
                <w:color w:val="264A60"/>
                <w:sz w:val="18"/>
                <w:szCs w:val="18"/>
                <w:lang w:eastAsia="cs-CZ"/>
              </w:rPr>
            </w:pPr>
            <w:r w:rsidRPr="00A53CC8">
              <w:rPr>
                <w:rFonts w:ascii="Arial" w:eastAsia="Times New Roman" w:hAnsi="Arial" w:cs="Arial"/>
                <w:color w:val="264A60"/>
                <w:sz w:val="18"/>
                <w:szCs w:val="18"/>
                <w:lang w:eastAsia="cs-CZ"/>
              </w:rPr>
              <w:t>Záporné primární NS PK</w:t>
            </w:r>
          </w:p>
        </w:tc>
        <w:tc>
          <w:tcPr>
            <w:tcW w:w="1505" w:type="dxa"/>
            <w:tcBorders>
              <w:top w:val="nil"/>
              <w:left w:val="single" w:sz="4" w:space="0" w:color="auto"/>
              <w:bottom w:val="single" w:sz="4" w:space="0" w:color="auto"/>
              <w:right w:val="nil"/>
            </w:tcBorders>
            <w:shd w:val="clear" w:color="auto" w:fill="auto"/>
            <w:noWrap/>
            <w:vAlign w:val="center"/>
            <w:hideMark/>
          </w:tcPr>
          <w:p w:rsidR="00740020" w:rsidRPr="00A53CC8" w:rsidRDefault="00740020" w:rsidP="00740020">
            <w:pPr>
              <w:spacing w:after="0" w:line="240" w:lineRule="auto"/>
              <w:jc w:val="center"/>
              <w:rPr>
                <w:rFonts w:ascii="Arial" w:eastAsia="Times New Roman" w:hAnsi="Arial" w:cs="Arial"/>
                <w:color w:val="010205"/>
                <w:sz w:val="18"/>
                <w:szCs w:val="18"/>
                <w:lang w:eastAsia="cs-CZ"/>
              </w:rPr>
            </w:pPr>
            <w:r w:rsidRPr="00A53CC8">
              <w:rPr>
                <w:rFonts w:ascii="Arial" w:eastAsia="Times New Roman" w:hAnsi="Arial" w:cs="Arial"/>
                <w:color w:val="010205"/>
                <w:sz w:val="18"/>
                <w:szCs w:val="18"/>
                <w:lang w:eastAsia="cs-CZ"/>
              </w:rPr>
              <w:t>37,1</w:t>
            </w:r>
            <w:r>
              <w:rPr>
                <w:rFonts w:ascii="Arial" w:eastAsia="Times New Roman" w:hAnsi="Arial" w:cs="Arial"/>
                <w:color w:val="010205"/>
                <w:sz w:val="18"/>
                <w:szCs w:val="18"/>
                <w:lang w:eastAsia="cs-CZ"/>
              </w:rPr>
              <w:t xml:space="preserve"> </w:t>
            </w:r>
            <w:r w:rsidRPr="00A53CC8">
              <w:rPr>
                <w:rFonts w:ascii="Arial" w:eastAsia="Times New Roman" w:hAnsi="Arial" w:cs="Arial"/>
                <w:color w:val="010205"/>
                <w:sz w:val="18"/>
                <w:szCs w:val="18"/>
                <w:lang w:eastAsia="cs-CZ"/>
              </w:rPr>
              <w:t>%</w:t>
            </w:r>
          </w:p>
        </w:tc>
        <w:tc>
          <w:tcPr>
            <w:tcW w:w="1618" w:type="dxa"/>
            <w:tcBorders>
              <w:top w:val="nil"/>
              <w:left w:val="single" w:sz="4" w:space="0" w:color="E0E0E0"/>
              <w:bottom w:val="single" w:sz="4" w:space="0" w:color="auto"/>
              <w:right w:val="single" w:sz="4" w:space="0" w:color="auto"/>
            </w:tcBorders>
            <w:shd w:val="clear" w:color="auto" w:fill="auto"/>
            <w:noWrap/>
            <w:vAlign w:val="center"/>
            <w:hideMark/>
          </w:tcPr>
          <w:p w:rsidR="00740020" w:rsidRPr="00F30CEF" w:rsidRDefault="00740020" w:rsidP="00740020">
            <w:pPr>
              <w:spacing w:after="0" w:line="240" w:lineRule="auto"/>
              <w:jc w:val="center"/>
              <w:rPr>
                <w:rFonts w:ascii="Arial" w:eastAsia="Times New Roman" w:hAnsi="Arial" w:cs="Arial"/>
                <w:b/>
                <w:color w:val="010205"/>
                <w:sz w:val="18"/>
                <w:szCs w:val="18"/>
                <w:lang w:eastAsia="cs-CZ"/>
              </w:rPr>
            </w:pPr>
            <w:r w:rsidRPr="00F30CEF">
              <w:rPr>
                <w:rFonts w:ascii="Arial" w:eastAsia="Times New Roman" w:hAnsi="Arial" w:cs="Arial"/>
                <w:b/>
                <w:color w:val="010205"/>
                <w:sz w:val="18"/>
                <w:szCs w:val="18"/>
                <w:lang w:eastAsia="cs-CZ"/>
              </w:rPr>
              <w:t>64,3</w:t>
            </w:r>
            <w:r>
              <w:rPr>
                <w:rFonts w:ascii="Arial" w:eastAsia="Times New Roman" w:hAnsi="Arial" w:cs="Arial"/>
                <w:b/>
                <w:color w:val="010205"/>
                <w:sz w:val="18"/>
                <w:szCs w:val="18"/>
                <w:lang w:eastAsia="cs-CZ"/>
              </w:rPr>
              <w:t xml:space="preserve"> </w:t>
            </w:r>
            <w:r w:rsidRPr="00F30CEF">
              <w:rPr>
                <w:rFonts w:ascii="Arial" w:eastAsia="Times New Roman" w:hAnsi="Arial" w:cs="Arial"/>
                <w:b/>
                <w:color w:val="010205"/>
                <w:sz w:val="18"/>
                <w:szCs w:val="18"/>
                <w:lang w:eastAsia="cs-CZ"/>
              </w:rPr>
              <w:t>%</w:t>
            </w:r>
          </w:p>
        </w:tc>
      </w:tr>
    </w:tbl>
    <w:p w:rsidR="00B535EE" w:rsidRDefault="00B535EE" w:rsidP="00740020"/>
    <w:p w:rsidR="00740020" w:rsidRDefault="00740020" w:rsidP="00740020">
      <w:r>
        <w:t xml:space="preserve">V případech, kdy byl </w:t>
      </w:r>
      <w:r w:rsidRPr="00CC156C">
        <w:t>vykázán záporný vlastní kapitál</w:t>
      </w:r>
      <w:r>
        <w:t>, převažovaly ve všech ukazatelích záporné hodnoty, tedy provozní ztráta, deficit nutné hotovosti a převaha pasivních NS PK nad aktivními.</w:t>
      </w:r>
    </w:p>
    <w:p w:rsidR="00B535EE" w:rsidRPr="00A53CC8" w:rsidRDefault="00B535EE" w:rsidP="00740020"/>
    <w:p w:rsidR="00740020" w:rsidRDefault="00740020" w:rsidP="00740020">
      <w:pPr>
        <w:pStyle w:val="Titulek"/>
      </w:pPr>
      <w:bookmarkStart w:id="55" w:name="_Toc31054798"/>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22</w:t>
      </w:r>
      <w:r w:rsidR="00163A91">
        <w:rPr>
          <w:noProof/>
        </w:rPr>
        <w:fldChar w:fldCharType="end"/>
      </w:r>
      <w:r>
        <w:t xml:space="preserve"> – Závislost záporného vlastního kapitálu na změně polarity ostatních ukazatelů</w:t>
      </w:r>
      <w:bookmarkEnd w:id="55"/>
    </w:p>
    <w:tbl>
      <w:tblPr>
        <w:tblW w:w="8484" w:type="dxa"/>
        <w:tblCellMar>
          <w:left w:w="70" w:type="dxa"/>
          <w:right w:w="70" w:type="dxa"/>
        </w:tblCellMar>
        <w:tblLook w:val="04A0"/>
      </w:tblPr>
      <w:tblGrid>
        <w:gridCol w:w="5326"/>
        <w:gridCol w:w="956"/>
        <w:gridCol w:w="1093"/>
        <w:gridCol w:w="1109"/>
      </w:tblGrid>
      <w:tr w:rsidR="00740020" w:rsidRPr="00B63D0B" w:rsidTr="00740020">
        <w:trPr>
          <w:trHeight w:val="138"/>
        </w:trPr>
        <w:tc>
          <w:tcPr>
            <w:tcW w:w="5326" w:type="dxa"/>
            <w:vMerge w:val="restart"/>
            <w:tcBorders>
              <w:top w:val="single" w:sz="4" w:space="0" w:color="auto"/>
              <w:left w:val="single" w:sz="4" w:space="0" w:color="auto"/>
              <w:bottom w:val="single" w:sz="4" w:space="0" w:color="152935"/>
              <w:right w:val="nil"/>
            </w:tcBorders>
            <w:shd w:val="clear" w:color="auto" w:fill="auto"/>
            <w:vAlign w:val="center"/>
            <w:hideMark/>
          </w:tcPr>
          <w:p w:rsidR="00740020" w:rsidRPr="00B63D0B"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Ukazatel</w:t>
            </w:r>
          </w:p>
        </w:tc>
        <w:tc>
          <w:tcPr>
            <w:tcW w:w="956" w:type="dxa"/>
            <w:vMerge w:val="restart"/>
            <w:tcBorders>
              <w:top w:val="single" w:sz="4" w:space="0" w:color="auto"/>
              <w:left w:val="single" w:sz="4" w:space="0" w:color="auto"/>
              <w:bottom w:val="single" w:sz="4" w:space="0" w:color="152935"/>
              <w:right w:val="nil"/>
            </w:tcBorders>
            <w:shd w:val="clear" w:color="auto" w:fill="auto"/>
            <w:vAlign w:val="center"/>
            <w:hideMark/>
          </w:tcPr>
          <w:p w:rsidR="00740020" w:rsidRPr="00B63D0B" w:rsidRDefault="00740020" w:rsidP="00740020">
            <w:pPr>
              <w:spacing w:after="0" w:line="240" w:lineRule="auto"/>
              <w:jc w:val="center"/>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Poměr šancí</w:t>
            </w:r>
          </w:p>
        </w:tc>
        <w:tc>
          <w:tcPr>
            <w:tcW w:w="22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0020" w:rsidRPr="00B63D0B" w:rsidRDefault="00740020" w:rsidP="00740020">
            <w:pPr>
              <w:spacing w:after="0" w:line="240" w:lineRule="auto"/>
              <w:jc w:val="center"/>
              <w:rPr>
                <w:rFonts w:ascii="Arial" w:eastAsia="Times New Roman" w:hAnsi="Arial" w:cs="Arial"/>
                <w:color w:val="264A60"/>
                <w:sz w:val="18"/>
                <w:szCs w:val="18"/>
                <w:lang w:eastAsia="cs-CZ"/>
              </w:rPr>
            </w:pPr>
            <w:r w:rsidRPr="00B63D0B">
              <w:rPr>
                <w:rFonts w:ascii="Arial" w:eastAsia="Times New Roman" w:hAnsi="Arial" w:cs="Arial"/>
                <w:color w:val="264A60"/>
                <w:sz w:val="18"/>
                <w:szCs w:val="18"/>
                <w:lang w:eastAsia="cs-CZ"/>
              </w:rPr>
              <w:t xml:space="preserve">95% </w:t>
            </w:r>
            <w:r>
              <w:rPr>
                <w:rFonts w:ascii="Arial" w:eastAsia="Times New Roman" w:hAnsi="Arial" w:cs="Arial"/>
                <w:color w:val="264A60"/>
                <w:sz w:val="18"/>
                <w:szCs w:val="18"/>
                <w:lang w:eastAsia="cs-CZ"/>
              </w:rPr>
              <w:t>Interval spolehlivosti</w:t>
            </w:r>
          </w:p>
        </w:tc>
      </w:tr>
      <w:tr w:rsidR="00740020" w:rsidRPr="00B63D0B" w:rsidTr="00740020">
        <w:trPr>
          <w:trHeight w:val="138"/>
        </w:trPr>
        <w:tc>
          <w:tcPr>
            <w:tcW w:w="5326" w:type="dxa"/>
            <w:vMerge/>
            <w:tcBorders>
              <w:top w:val="single" w:sz="4" w:space="0" w:color="auto"/>
              <w:left w:val="single" w:sz="4" w:space="0" w:color="auto"/>
              <w:bottom w:val="single" w:sz="4" w:space="0" w:color="152935"/>
              <w:right w:val="nil"/>
            </w:tcBorders>
            <w:vAlign w:val="center"/>
            <w:hideMark/>
          </w:tcPr>
          <w:p w:rsidR="00740020" w:rsidRPr="00B63D0B" w:rsidRDefault="00740020" w:rsidP="00740020">
            <w:pPr>
              <w:spacing w:after="0" w:line="240" w:lineRule="auto"/>
              <w:jc w:val="left"/>
              <w:rPr>
                <w:rFonts w:ascii="Arial" w:eastAsia="Times New Roman" w:hAnsi="Arial" w:cs="Arial"/>
                <w:color w:val="264A60"/>
                <w:sz w:val="18"/>
                <w:szCs w:val="18"/>
                <w:lang w:eastAsia="cs-CZ"/>
              </w:rPr>
            </w:pPr>
          </w:p>
        </w:tc>
        <w:tc>
          <w:tcPr>
            <w:tcW w:w="956" w:type="dxa"/>
            <w:vMerge/>
            <w:tcBorders>
              <w:top w:val="single" w:sz="4" w:space="0" w:color="auto"/>
              <w:left w:val="single" w:sz="4" w:space="0" w:color="auto"/>
              <w:bottom w:val="single" w:sz="4" w:space="0" w:color="152935"/>
              <w:right w:val="nil"/>
            </w:tcBorders>
            <w:vAlign w:val="center"/>
            <w:hideMark/>
          </w:tcPr>
          <w:p w:rsidR="00740020" w:rsidRPr="00B63D0B" w:rsidRDefault="00740020" w:rsidP="00740020">
            <w:pPr>
              <w:spacing w:after="0" w:line="240" w:lineRule="auto"/>
              <w:jc w:val="left"/>
              <w:rPr>
                <w:rFonts w:ascii="Arial" w:eastAsia="Times New Roman" w:hAnsi="Arial" w:cs="Arial"/>
                <w:color w:val="264A60"/>
                <w:sz w:val="18"/>
                <w:szCs w:val="18"/>
                <w:lang w:eastAsia="cs-CZ"/>
              </w:rPr>
            </w:pPr>
          </w:p>
        </w:tc>
        <w:tc>
          <w:tcPr>
            <w:tcW w:w="1093" w:type="dxa"/>
            <w:tcBorders>
              <w:top w:val="nil"/>
              <w:left w:val="single" w:sz="4" w:space="0" w:color="auto"/>
              <w:bottom w:val="single" w:sz="4" w:space="0" w:color="152935"/>
              <w:right w:val="nil"/>
            </w:tcBorders>
            <w:shd w:val="clear" w:color="auto" w:fill="auto"/>
            <w:vAlign w:val="center"/>
            <w:hideMark/>
          </w:tcPr>
          <w:p w:rsidR="00740020" w:rsidRPr="00B63D0B" w:rsidRDefault="00740020" w:rsidP="00740020">
            <w:pPr>
              <w:spacing w:after="0" w:line="240" w:lineRule="auto"/>
              <w:jc w:val="center"/>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Dolní mez</w:t>
            </w:r>
          </w:p>
        </w:tc>
        <w:tc>
          <w:tcPr>
            <w:tcW w:w="1109" w:type="dxa"/>
            <w:tcBorders>
              <w:top w:val="nil"/>
              <w:left w:val="single" w:sz="4" w:space="0" w:color="E0E0E0"/>
              <w:bottom w:val="single" w:sz="4" w:space="0" w:color="152935"/>
              <w:right w:val="single" w:sz="4" w:space="0" w:color="auto"/>
            </w:tcBorders>
            <w:shd w:val="clear" w:color="auto" w:fill="auto"/>
            <w:vAlign w:val="center"/>
            <w:hideMark/>
          </w:tcPr>
          <w:p w:rsidR="00740020" w:rsidRPr="00B63D0B" w:rsidRDefault="00740020" w:rsidP="00740020">
            <w:pPr>
              <w:spacing w:after="0" w:line="240" w:lineRule="auto"/>
              <w:jc w:val="center"/>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Horní mez</w:t>
            </w:r>
          </w:p>
        </w:tc>
      </w:tr>
      <w:tr w:rsidR="00740020" w:rsidRPr="00B63D0B" w:rsidTr="00740020">
        <w:trPr>
          <w:trHeight w:val="624"/>
        </w:trPr>
        <w:tc>
          <w:tcPr>
            <w:tcW w:w="5326" w:type="dxa"/>
            <w:tcBorders>
              <w:top w:val="nil"/>
              <w:left w:val="single" w:sz="4" w:space="0" w:color="auto"/>
              <w:bottom w:val="single" w:sz="4" w:space="0" w:color="AEAEAE"/>
              <w:right w:val="nil"/>
            </w:tcBorders>
            <w:shd w:val="clear" w:color="000000" w:fill="E0E0E0"/>
            <w:vAlign w:val="center"/>
            <w:hideMark/>
          </w:tcPr>
          <w:p w:rsidR="00740020" w:rsidRPr="00B63D0B"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Polarita primárních EBITDA</w:t>
            </w:r>
          </w:p>
        </w:tc>
        <w:tc>
          <w:tcPr>
            <w:tcW w:w="956" w:type="dxa"/>
            <w:tcBorders>
              <w:top w:val="nil"/>
              <w:left w:val="single" w:sz="4" w:space="0" w:color="auto"/>
              <w:bottom w:val="single" w:sz="4" w:space="0" w:color="AEAEAE"/>
              <w:right w:val="nil"/>
            </w:tcBorders>
            <w:shd w:val="clear" w:color="auto" w:fill="auto"/>
            <w:noWrap/>
            <w:vAlign w:val="center"/>
            <w:hideMark/>
          </w:tcPr>
          <w:p w:rsidR="00740020" w:rsidRPr="00B63D0B" w:rsidRDefault="00740020" w:rsidP="00740020">
            <w:pPr>
              <w:spacing w:after="0" w:line="240" w:lineRule="auto"/>
              <w:jc w:val="center"/>
              <w:rPr>
                <w:rFonts w:ascii="Arial" w:eastAsia="Times New Roman" w:hAnsi="Arial" w:cs="Arial"/>
                <w:color w:val="010205"/>
                <w:sz w:val="18"/>
                <w:szCs w:val="18"/>
                <w:lang w:eastAsia="cs-CZ"/>
              </w:rPr>
            </w:pPr>
            <w:r w:rsidRPr="00B63D0B">
              <w:rPr>
                <w:rFonts w:ascii="Arial" w:eastAsia="Times New Roman" w:hAnsi="Arial" w:cs="Arial"/>
                <w:color w:val="010205"/>
                <w:sz w:val="18"/>
                <w:szCs w:val="18"/>
                <w:lang w:eastAsia="cs-CZ"/>
              </w:rPr>
              <w:t>2,833</w:t>
            </w:r>
          </w:p>
        </w:tc>
        <w:tc>
          <w:tcPr>
            <w:tcW w:w="1093" w:type="dxa"/>
            <w:tcBorders>
              <w:top w:val="nil"/>
              <w:left w:val="single" w:sz="4" w:space="0" w:color="auto"/>
              <w:bottom w:val="single" w:sz="4" w:space="0" w:color="AEAEAE"/>
              <w:right w:val="nil"/>
            </w:tcBorders>
            <w:shd w:val="clear" w:color="auto" w:fill="auto"/>
            <w:noWrap/>
            <w:vAlign w:val="center"/>
            <w:hideMark/>
          </w:tcPr>
          <w:p w:rsidR="00740020" w:rsidRPr="00B63D0B" w:rsidRDefault="00740020" w:rsidP="00740020">
            <w:pPr>
              <w:spacing w:after="0" w:line="240" w:lineRule="auto"/>
              <w:jc w:val="center"/>
              <w:rPr>
                <w:rFonts w:ascii="Arial" w:eastAsia="Times New Roman" w:hAnsi="Arial" w:cs="Arial"/>
                <w:color w:val="010205"/>
                <w:sz w:val="18"/>
                <w:szCs w:val="18"/>
                <w:lang w:eastAsia="cs-CZ"/>
              </w:rPr>
            </w:pPr>
            <w:r w:rsidRPr="00B63D0B">
              <w:rPr>
                <w:rFonts w:ascii="Arial" w:eastAsia="Times New Roman" w:hAnsi="Arial" w:cs="Arial"/>
                <w:color w:val="010205"/>
                <w:sz w:val="18"/>
                <w:szCs w:val="18"/>
                <w:lang w:eastAsia="cs-CZ"/>
              </w:rPr>
              <w:t>1,068</w:t>
            </w:r>
          </w:p>
        </w:tc>
        <w:tc>
          <w:tcPr>
            <w:tcW w:w="1109" w:type="dxa"/>
            <w:tcBorders>
              <w:top w:val="nil"/>
              <w:left w:val="single" w:sz="4" w:space="0" w:color="E0E0E0"/>
              <w:bottom w:val="single" w:sz="4" w:space="0" w:color="AEAEAE"/>
              <w:right w:val="single" w:sz="4" w:space="0" w:color="auto"/>
            </w:tcBorders>
            <w:shd w:val="clear" w:color="auto" w:fill="auto"/>
            <w:noWrap/>
            <w:vAlign w:val="center"/>
            <w:hideMark/>
          </w:tcPr>
          <w:p w:rsidR="00740020" w:rsidRPr="00B63D0B" w:rsidRDefault="00740020" w:rsidP="00740020">
            <w:pPr>
              <w:spacing w:after="0" w:line="240" w:lineRule="auto"/>
              <w:jc w:val="center"/>
              <w:rPr>
                <w:rFonts w:ascii="Arial" w:eastAsia="Times New Roman" w:hAnsi="Arial" w:cs="Arial"/>
                <w:color w:val="010205"/>
                <w:sz w:val="18"/>
                <w:szCs w:val="18"/>
                <w:lang w:eastAsia="cs-CZ"/>
              </w:rPr>
            </w:pPr>
            <w:r w:rsidRPr="00B63D0B">
              <w:rPr>
                <w:rFonts w:ascii="Arial" w:eastAsia="Times New Roman" w:hAnsi="Arial" w:cs="Arial"/>
                <w:color w:val="010205"/>
                <w:sz w:val="18"/>
                <w:szCs w:val="18"/>
                <w:lang w:eastAsia="cs-CZ"/>
              </w:rPr>
              <w:t>7,515</w:t>
            </w:r>
          </w:p>
        </w:tc>
      </w:tr>
      <w:tr w:rsidR="00740020" w:rsidRPr="00B63D0B" w:rsidTr="00740020">
        <w:trPr>
          <w:trHeight w:val="624"/>
        </w:trPr>
        <w:tc>
          <w:tcPr>
            <w:tcW w:w="5326" w:type="dxa"/>
            <w:tcBorders>
              <w:top w:val="nil"/>
              <w:left w:val="single" w:sz="4" w:space="0" w:color="auto"/>
              <w:bottom w:val="single" w:sz="4" w:space="0" w:color="AEAEAE"/>
              <w:right w:val="nil"/>
            </w:tcBorders>
            <w:shd w:val="clear" w:color="000000" w:fill="E0E0E0"/>
            <w:vAlign w:val="center"/>
            <w:hideMark/>
          </w:tcPr>
          <w:p w:rsidR="00740020" w:rsidRPr="00B63D0B"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Polarita deficitu nutné hotovosti</w:t>
            </w:r>
          </w:p>
        </w:tc>
        <w:tc>
          <w:tcPr>
            <w:tcW w:w="956" w:type="dxa"/>
            <w:tcBorders>
              <w:top w:val="nil"/>
              <w:left w:val="single" w:sz="4" w:space="0" w:color="auto"/>
              <w:bottom w:val="single" w:sz="4" w:space="0" w:color="AEAEAE"/>
              <w:right w:val="nil"/>
            </w:tcBorders>
            <w:shd w:val="clear" w:color="auto" w:fill="auto"/>
            <w:noWrap/>
            <w:vAlign w:val="center"/>
            <w:hideMark/>
          </w:tcPr>
          <w:p w:rsidR="00740020" w:rsidRPr="00B63D0B" w:rsidRDefault="00740020" w:rsidP="00740020">
            <w:pPr>
              <w:spacing w:after="0" w:line="240" w:lineRule="auto"/>
              <w:jc w:val="center"/>
              <w:rPr>
                <w:rFonts w:ascii="Arial" w:eastAsia="Times New Roman" w:hAnsi="Arial" w:cs="Arial"/>
                <w:color w:val="010205"/>
                <w:sz w:val="18"/>
                <w:szCs w:val="18"/>
                <w:lang w:eastAsia="cs-CZ"/>
              </w:rPr>
            </w:pPr>
            <w:r w:rsidRPr="00B63D0B">
              <w:rPr>
                <w:rFonts w:ascii="Arial" w:eastAsia="Times New Roman" w:hAnsi="Arial" w:cs="Arial"/>
                <w:color w:val="010205"/>
                <w:sz w:val="18"/>
                <w:szCs w:val="18"/>
                <w:lang w:eastAsia="cs-CZ"/>
              </w:rPr>
              <w:t>3,000</w:t>
            </w:r>
          </w:p>
        </w:tc>
        <w:tc>
          <w:tcPr>
            <w:tcW w:w="1093" w:type="dxa"/>
            <w:tcBorders>
              <w:top w:val="nil"/>
              <w:left w:val="single" w:sz="4" w:space="0" w:color="auto"/>
              <w:bottom w:val="single" w:sz="4" w:space="0" w:color="AEAEAE"/>
              <w:right w:val="nil"/>
            </w:tcBorders>
            <w:shd w:val="clear" w:color="auto" w:fill="auto"/>
            <w:noWrap/>
            <w:vAlign w:val="center"/>
            <w:hideMark/>
          </w:tcPr>
          <w:p w:rsidR="00740020" w:rsidRPr="00B63D0B" w:rsidRDefault="00740020" w:rsidP="00740020">
            <w:pPr>
              <w:spacing w:after="0" w:line="240" w:lineRule="auto"/>
              <w:jc w:val="center"/>
              <w:rPr>
                <w:rFonts w:ascii="Arial" w:eastAsia="Times New Roman" w:hAnsi="Arial" w:cs="Arial"/>
                <w:color w:val="010205"/>
                <w:sz w:val="18"/>
                <w:szCs w:val="18"/>
                <w:lang w:eastAsia="cs-CZ"/>
              </w:rPr>
            </w:pPr>
            <w:r w:rsidRPr="00B63D0B">
              <w:rPr>
                <w:rFonts w:ascii="Arial" w:eastAsia="Times New Roman" w:hAnsi="Arial" w:cs="Arial"/>
                <w:color w:val="010205"/>
                <w:sz w:val="18"/>
                <w:szCs w:val="18"/>
                <w:lang w:eastAsia="cs-CZ"/>
              </w:rPr>
              <w:t>0,352</w:t>
            </w:r>
          </w:p>
        </w:tc>
        <w:tc>
          <w:tcPr>
            <w:tcW w:w="1109" w:type="dxa"/>
            <w:tcBorders>
              <w:top w:val="nil"/>
              <w:left w:val="single" w:sz="4" w:space="0" w:color="E0E0E0"/>
              <w:bottom w:val="single" w:sz="4" w:space="0" w:color="AEAEAE"/>
              <w:right w:val="single" w:sz="4" w:space="0" w:color="auto"/>
            </w:tcBorders>
            <w:shd w:val="clear" w:color="auto" w:fill="auto"/>
            <w:noWrap/>
            <w:vAlign w:val="center"/>
            <w:hideMark/>
          </w:tcPr>
          <w:p w:rsidR="00740020" w:rsidRPr="00B63D0B" w:rsidRDefault="00740020" w:rsidP="00740020">
            <w:pPr>
              <w:spacing w:after="0" w:line="240" w:lineRule="auto"/>
              <w:jc w:val="center"/>
              <w:rPr>
                <w:rFonts w:ascii="Arial" w:eastAsia="Times New Roman" w:hAnsi="Arial" w:cs="Arial"/>
                <w:color w:val="010205"/>
                <w:sz w:val="18"/>
                <w:szCs w:val="18"/>
                <w:lang w:eastAsia="cs-CZ"/>
              </w:rPr>
            </w:pPr>
            <w:r w:rsidRPr="00B63D0B">
              <w:rPr>
                <w:rFonts w:ascii="Arial" w:eastAsia="Times New Roman" w:hAnsi="Arial" w:cs="Arial"/>
                <w:color w:val="010205"/>
                <w:sz w:val="18"/>
                <w:szCs w:val="18"/>
                <w:lang w:eastAsia="cs-CZ"/>
              </w:rPr>
              <w:t>25,581</w:t>
            </w:r>
          </w:p>
        </w:tc>
      </w:tr>
      <w:tr w:rsidR="00740020" w:rsidRPr="00B63D0B" w:rsidTr="00740020">
        <w:trPr>
          <w:trHeight w:val="512"/>
        </w:trPr>
        <w:tc>
          <w:tcPr>
            <w:tcW w:w="5326" w:type="dxa"/>
            <w:tcBorders>
              <w:top w:val="nil"/>
              <w:left w:val="single" w:sz="4" w:space="0" w:color="auto"/>
              <w:bottom w:val="single" w:sz="4" w:space="0" w:color="auto"/>
              <w:right w:val="nil"/>
            </w:tcBorders>
            <w:shd w:val="clear" w:color="000000" w:fill="E0E0E0"/>
            <w:vAlign w:val="center"/>
            <w:hideMark/>
          </w:tcPr>
          <w:p w:rsidR="00740020" w:rsidRPr="00B63D0B" w:rsidRDefault="00740020" w:rsidP="00740020">
            <w:pPr>
              <w:spacing w:after="0" w:line="240" w:lineRule="auto"/>
              <w:jc w:val="left"/>
              <w:rPr>
                <w:rFonts w:ascii="Arial" w:eastAsia="Times New Roman" w:hAnsi="Arial" w:cs="Arial"/>
                <w:color w:val="264A60"/>
                <w:sz w:val="18"/>
                <w:szCs w:val="18"/>
                <w:lang w:eastAsia="cs-CZ"/>
              </w:rPr>
            </w:pPr>
            <w:r>
              <w:rPr>
                <w:rFonts w:ascii="Arial" w:eastAsia="Times New Roman" w:hAnsi="Arial" w:cs="Arial"/>
                <w:color w:val="264A60"/>
                <w:sz w:val="18"/>
                <w:szCs w:val="18"/>
                <w:lang w:eastAsia="cs-CZ"/>
              </w:rPr>
              <w:t>Polarita primárních NS PK</w:t>
            </w:r>
          </w:p>
        </w:tc>
        <w:tc>
          <w:tcPr>
            <w:tcW w:w="956" w:type="dxa"/>
            <w:tcBorders>
              <w:top w:val="nil"/>
              <w:left w:val="single" w:sz="4" w:space="0" w:color="auto"/>
              <w:bottom w:val="single" w:sz="4" w:space="0" w:color="auto"/>
              <w:right w:val="nil"/>
            </w:tcBorders>
            <w:shd w:val="clear" w:color="auto" w:fill="auto"/>
            <w:noWrap/>
            <w:vAlign w:val="center"/>
            <w:hideMark/>
          </w:tcPr>
          <w:p w:rsidR="00740020" w:rsidRPr="00B63D0B" w:rsidRDefault="00740020" w:rsidP="00740020">
            <w:pPr>
              <w:spacing w:after="0" w:line="240" w:lineRule="auto"/>
              <w:jc w:val="center"/>
              <w:rPr>
                <w:rFonts w:ascii="Arial" w:eastAsia="Times New Roman" w:hAnsi="Arial" w:cs="Arial"/>
                <w:color w:val="010205"/>
                <w:sz w:val="18"/>
                <w:szCs w:val="18"/>
                <w:lang w:eastAsia="cs-CZ"/>
              </w:rPr>
            </w:pPr>
            <w:r w:rsidRPr="00B63D0B">
              <w:rPr>
                <w:rFonts w:ascii="Arial" w:eastAsia="Times New Roman" w:hAnsi="Arial" w:cs="Arial"/>
                <w:color w:val="010205"/>
                <w:sz w:val="18"/>
                <w:szCs w:val="18"/>
                <w:lang w:eastAsia="cs-CZ"/>
              </w:rPr>
              <w:t>3,046</w:t>
            </w:r>
          </w:p>
        </w:tc>
        <w:tc>
          <w:tcPr>
            <w:tcW w:w="1093" w:type="dxa"/>
            <w:tcBorders>
              <w:top w:val="nil"/>
              <w:left w:val="single" w:sz="4" w:space="0" w:color="auto"/>
              <w:bottom w:val="single" w:sz="4" w:space="0" w:color="auto"/>
              <w:right w:val="nil"/>
            </w:tcBorders>
            <w:shd w:val="clear" w:color="auto" w:fill="auto"/>
            <w:noWrap/>
            <w:vAlign w:val="center"/>
            <w:hideMark/>
          </w:tcPr>
          <w:p w:rsidR="00740020" w:rsidRPr="00B63D0B" w:rsidRDefault="00740020" w:rsidP="00740020">
            <w:pPr>
              <w:spacing w:after="0" w:line="240" w:lineRule="auto"/>
              <w:jc w:val="center"/>
              <w:rPr>
                <w:rFonts w:ascii="Arial" w:eastAsia="Times New Roman" w:hAnsi="Arial" w:cs="Arial"/>
                <w:color w:val="010205"/>
                <w:sz w:val="18"/>
                <w:szCs w:val="18"/>
                <w:lang w:eastAsia="cs-CZ"/>
              </w:rPr>
            </w:pPr>
            <w:r w:rsidRPr="00B63D0B">
              <w:rPr>
                <w:rFonts w:ascii="Arial" w:eastAsia="Times New Roman" w:hAnsi="Arial" w:cs="Arial"/>
                <w:color w:val="010205"/>
                <w:sz w:val="18"/>
                <w:szCs w:val="18"/>
                <w:lang w:eastAsia="cs-CZ"/>
              </w:rPr>
              <w:t>1,223</w:t>
            </w:r>
          </w:p>
        </w:tc>
        <w:tc>
          <w:tcPr>
            <w:tcW w:w="1109" w:type="dxa"/>
            <w:tcBorders>
              <w:top w:val="nil"/>
              <w:left w:val="single" w:sz="4" w:space="0" w:color="E0E0E0"/>
              <w:bottom w:val="single" w:sz="4" w:space="0" w:color="auto"/>
              <w:right w:val="single" w:sz="4" w:space="0" w:color="auto"/>
            </w:tcBorders>
            <w:shd w:val="clear" w:color="auto" w:fill="auto"/>
            <w:noWrap/>
            <w:vAlign w:val="center"/>
            <w:hideMark/>
          </w:tcPr>
          <w:p w:rsidR="00740020" w:rsidRPr="00B63D0B" w:rsidRDefault="00740020" w:rsidP="00740020">
            <w:pPr>
              <w:spacing w:after="0" w:line="240" w:lineRule="auto"/>
              <w:jc w:val="center"/>
              <w:rPr>
                <w:rFonts w:ascii="Arial" w:eastAsia="Times New Roman" w:hAnsi="Arial" w:cs="Arial"/>
                <w:color w:val="010205"/>
                <w:sz w:val="18"/>
                <w:szCs w:val="18"/>
                <w:lang w:eastAsia="cs-CZ"/>
              </w:rPr>
            </w:pPr>
            <w:r w:rsidRPr="00B63D0B">
              <w:rPr>
                <w:rFonts w:ascii="Arial" w:eastAsia="Times New Roman" w:hAnsi="Arial" w:cs="Arial"/>
                <w:color w:val="010205"/>
                <w:sz w:val="18"/>
                <w:szCs w:val="18"/>
                <w:lang w:eastAsia="cs-CZ"/>
              </w:rPr>
              <w:t>7,586</w:t>
            </w:r>
          </w:p>
        </w:tc>
      </w:tr>
    </w:tbl>
    <w:p w:rsidR="00B535EE" w:rsidRDefault="00B535EE" w:rsidP="00740020">
      <w:pPr>
        <w:spacing w:after="0"/>
      </w:pPr>
    </w:p>
    <w:p w:rsidR="00740020" w:rsidRDefault="00740020" w:rsidP="00740020">
      <w:pPr>
        <w:spacing w:after="0"/>
      </w:pPr>
      <w:r>
        <w:t xml:space="preserve">Daná analýza ukazuje závislost záporného vlastního kapitálu na polaritě jednotlivých vybraných ukazatelů pomocí poměru šancí, ukazuje tedy, kolikrát se zvýší šance, že vlastní </w:t>
      </w:r>
      <w:r>
        <w:lastRenderedPageBreak/>
        <w:t>kapitál bude záporný, jestliže dojde ke změně polarity ostatních ukazatelů. Intenzita závislosti měřená poměrem šancí je u polarity vlastního kapitálu jako indikátoru předlužení u všech ukazatelů téměř shodná, a to kolem úrovně tři. Nejvyšší intenzita závislosti je u polarity salda NS PK, která (jak plyne z analýzy relativních četností polarity poměrových ukazatelů) měla ve třech letech před moratoriem zvyšující se trend a rok před jeho vyhlášením se pohybovala na úrovni 56,5 %. I zde platí již výše uvedený komentář týkající se šíře intervalu spolehlivosti.</w:t>
      </w:r>
    </w:p>
    <w:p w:rsidR="00B535EE" w:rsidRPr="00761391" w:rsidRDefault="00B535EE" w:rsidP="00740020">
      <w:pPr>
        <w:spacing w:after="0"/>
      </w:pPr>
    </w:p>
    <w:p w:rsidR="00740020" w:rsidRDefault="00740020" w:rsidP="00B535EE">
      <w:pPr>
        <w:pStyle w:val="Nadpis3"/>
        <w:numPr>
          <w:ilvl w:val="2"/>
          <w:numId w:val="15"/>
        </w:numPr>
      </w:pPr>
      <w:bookmarkStart w:id="56" w:name="_Toc31054454"/>
      <w:r>
        <w:t>Závěr</w:t>
      </w:r>
      <w:bookmarkEnd w:id="56"/>
    </w:p>
    <w:p w:rsidR="00740020" w:rsidRDefault="00740020" w:rsidP="00740020">
      <w:r>
        <w:t xml:space="preserve">Základním cílem výzkumu bylo identifikovat finanční kondici podniků žádajících o moratorium. Výsledky prokázaly, že finanční situace daných podniků nebyla dobrá, u řady dokonce alarmující. Na základě získaných výsledků lze konstatovat, že </w:t>
      </w:r>
      <w:r w:rsidRPr="005976AF">
        <w:rPr>
          <w:b/>
        </w:rPr>
        <w:t>šance</w:t>
      </w:r>
      <w:r w:rsidRPr="006A2399">
        <w:rPr>
          <w:b/>
        </w:rPr>
        <w:t>, že díky moratoriu dojde k odvrácení úpadku</w:t>
      </w:r>
      <w:r>
        <w:rPr>
          <w:b/>
        </w:rPr>
        <w:t>,</w:t>
      </w:r>
      <w:r w:rsidRPr="006A2399">
        <w:rPr>
          <w:b/>
        </w:rPr>
        <w:t xml:space="preserve"> byla </w:t>
      </w:r>
      <w:r>
        <w:rPr>
          <w:b/>
        </w:rPr>
        <w:t>mizivá</w:t>
      </w:r>
      <w:r>
        <w:t xml:space="preserve">. Moratorium není tedy využíváno pro jeho základní zamýšlený účel, kterým je odvrácení úpadku. To ostatně potvrzuje výsledek výzkumu, ze kterého vyplynulo, že 68 % podniků, u kterých bylo vyhlášeno moratorium, skončilo v konkurzu a téměř 26 % v reorganizaci. Bez ohledu na způsob </w:t>
      </w:r>
      <w:proofErr w:type="gramStart"/>
      <w:r>
        <w:t>řešení  se</w:t>
      </w:r>
      <w:proofErr w:type="gramEnd"/>
      <w:r>
        <w:t xml:space="preserve"> </w:t>
      </w:r>
      <w:r w:rsidRPr="006A2399">
        <w:rPr>
          <w:b/>
        </w:rPr>
        <w:t>u více než 93 % podniků nepodařilo pomocí moratoria odvrátit úpadek</w:t>
      </w:r>
      <w:r>
        <w:t xml:space="preserve"> a úpadek byl následně zjištěn. Důvody tohoto stavu, kdy institut moratoria nenapomáhá odvrácení úpadku, tkví v samotné finanční situaci dotčených podniků, jejichž hodnoty poměrových ukazatelů rozhodně nebyly vyhovující. Redukovaný průměr marže primární EBITDA dosahoval -14 %, redukovaný průměr podílu nutné hotovosti na skutečném stavu hotovosti vykázal pouhých 22 %, redukovaný průměr celkové zadluženosti dosahoval 95 %. Zjištěné výsledky vedou k závěru, že m</w:t>
      </w:r>
      <w:r w:rsidRPr="005976AF">
        <w:t>oratorium bylo využito u podniků, které se již</w:t>
      </w:r>
      <w:r w:rsidRPr="00A269D8">
        <w:rPr>
          <w:b/>
        </w:rPr>
        <w:t xml:space="preserve"> </w:t>
      </w:r>
      <w:r w:rsidRPr="005976AF">
        <w:t xml:space="preserve">nacházely </w:t>
      </w:r>
      <w:r w:rsidRPr="00A269D8">
        <w:rPr>
          <w:b/>
        </w:rPr>
        <w:t>v posledním stádiu podnikové krize</w:t>
      </w:r>
      <w:r>
        <w:t>.</w:t>
      </w:r>
    </w:p>
    <w:p w:rsidR="00740020" w:rsidRDefault="00740020" w:rsidP="00740020">
      <w:r>
        <w:t xml:space="preserve">Na základě provedeného výzkumu lze konstatovat, že </w:t>
      </w:r>
      <w:r w:rsidRPr="00436EAB">
        <w:rPr>
          <w:b/>
        </w:rPr>
        <w:t>o vyhlášení moratoria usilovaly podniky, které již byly v bankrotní situaci</w:t>
      </w:r>
      <w:r>
        <w:t>, což potvrzuje mj. analýza četnosti všech syntetických ukazatelů. Analýza marží ukázala, že již na úrovni přidané hodnoty dosahovaly podniky (díky vysoké výrobní nákladovosti) velmi nízké marže. To se pak projevilo v dalších úrovních marže, kdy redukovaný průměr i medián jsou již záporné.</w:t>
      </w:r>
    </w:p>
    <w:p w:rsidR="00740020" w:rsidRDefault="00740020" w:rsidP="00740020">
      <w:r>
        <w:t xml:space="preserve">Z analýzy indexu IN05 vyplynulo, že většina podniků se </w:t>
      </w:r>
      <w:r w:rsidRPr="005976AF">
        <w:t xml:space="preserve">ve </w:t>
      </w:r>
      <w:r w:rsidRPr="00CC156C">
        <w:t>všech třech letech</w:t>
      </w:r>
      <w:r w:rsidRPr="005976AF">
        <w:t xml:space="preserve"> před vyhlášením moratoria nacházela </w:t>
      </w:r>
      <w:r w:rsidRPr="001C0BC0">
        <w:rPr>
          <w:b/>
        </w:rPr>
        <w:t>v zóně bankrotu</w:t>
      </w:r>
      <w:r>
        <w:rPr>
          <w:b/>
        </w:rPr>
        <w:t xml:space="preserve"> a netvořila hodnotu</w:t>
      </w:r>
      <w:r w:rsidRPr="00A31637">
        <w:t>.</w:t>
      </w:r>
      <w:r>
        <w:t xml:space="preserve"> Rozdělení četnosti hodnot indexu IN05 v jednotlivých letech před vyhlášením moratoria pak jednoznačně indikuje, že i přes to, že 75 % podniků se nacházelo v bankrotové zóně tohoto indexu již tři roky před moratoriem, bylo o moratorium požádáno daleko později, a tak řada podniků nechala dojít situaci až do posledního stádia podnikové krize. Z hlediska vlivů na index IN05 je patrný </w:t>
      </w:r>
      <w:r w:rsidRPr="00CC156C">
        <w:t>dominantní vliv marže primární EBITDA</w:t>
      </w:r>
      <w:r>
        <w:t>, a to zejména v případě její záporné hodnoty (provozní ztráty).</w:t>
      </w:r>
    </w:p>
    <w:p w:rsidR="00740020" w:rsidRDefault="00740020" w:rsidP="00740020">
      <w:r>
        <w:t xml:space="preserve">Z hlediska otázky, jaké vlivy působily na vybrané finanční charakteristiky, lze z analýzy dovodit, že </w:t>
      </w:r>
      <w:r w:rsidRPr="00DC0523">
        <w:rPr>
          <w:b/>
        </w:rPr>
        <w:t>klíčovým problémem je</w:t>
      </w:r>
      <w:r>
        <w:rPr>
          <w:b/>
        </w:rPr>
        <w:t xml:space="preserve"> zejména</w:t>
      </w:r>
      <w:r w:rsidRPr="00DC0523">
        <w:rPr>
          <w:b/>
        </w:rPr>
        <w:t xml:space="preserve"> nízká (záporná) provozní výkonnost měřená ukazatelem primární EBITDA, resp. marže primární EBITD</w:t>
      </w:r>
      <w:r>
        <w:rPr>
          <w:b/>
        </w:rPr>
        <w:t>A</w:t>
      </w:r>
      <w:r>
        <w:t xml:space="preserve">, která je v souvislosti s nedostatkem </w:t>
      </w:r>
      <w:r w:rsidRPr="00416914">
        <w:t>hotovosti a vysokým zadlužením příčinou kritické finanční situace podniků, které využily institut moratoria, avšak již ve fázi, kdy pravděpodobnost</w:t>
      </w:r>
      <w:r>
        <w:t>, že se nepodaří odvrátit úpadek, hraničila téměř s jistotou.</w:t>
      </w:r>
      <w:r w:rsidRPr="00416914">
        <w:t xml:space="preserve"> </w:t>
      </w:r>
    </w:p>
    <w:p w:rsidR="00B535EE" w:rsidRDefault="00740020" w:rsidP="00B535EE">
      <w:r>
        <w:lastRenderedPageBreak/>
        <w:t xml:space="preserve">Příčinou sledovaného stavu může být například u vlastnicky řízených podniků </w:t>
      </w:r>
      <w:r w:rsidRPr="00AB42A3">
        <w:rPr>
          <w:b/>
        </w:rPr>
        <w:t xml:space="preserve">neschopnost či neochota manažerů – vlastníků kriticky </w:t>
      </w:r>
      <w:r>
        <w:rPr>
          <w:b/>
        </w:rPr>
        <w:t>z</w:t>
      </w:r>
      <w:r w:rsidRPr="00AB42A3">
        <w:rPr>
          <w:b/>
        </w:rPr>
        <w:t>hodnotit situaci svého vlastního podniku</w:t>
      </w:r>
      <w:r>
        <w:t xml:space="preserve"> (který v řadě případů roky budovali), či třeba skutečnost, že </w:t>
      </w:r>
      <w:r w:rsidRPr="00AB42A3">
        <w:rPr>
          <w:b/>
        </w:rPr>
        <w:t>moratorium je institut insolvenční, a tedy probíhá v rámci insolvenčního řízení s vysokou publicitou</w:t>
      </w:r>
      <w:r>
        <w:t>. Znevýhodňujícím faktem u moratoria je také to, že jeho vyhlášení je plně zveřejněno, což znamená, že je zveřejněn jak samotný návrh, tak jeho přílohy, které mnohdy obsahují řadu citlivých informací. Tato skutečnost může být značně demotivující, neboť se od tohoto okamžiku jedná o proces veřejný a může dojít ke zpochybnění obchodního postavení dlužníka. Lze se domnívat, že moratorium či obdobný institut ochrany před věřiteli za účelem odvrácení úpadku by mohly být funkční, pokud by nebyly institutem insolvenčním. Řešením by mohlo být například ukotvení neformální restrukturalizace včetně institutu ochrany před věřiteli v našem právním systému, a to např. na základě připravované směrnice Evropské komise o rámcích preventivní restrukturalizace a druhé šanci.</w:t>
      </w:r>
    </w:p>
    <w:p w:rsidR="00B535EE" w:rsidRDefault="00B535EE" w:rsidP="00B535EE">
      <w:r>
        <w:br w:type="page"/>
      </w:r>
    </w:p>
    <w:p w:rsidR="00C60A0B" w:rsidRPr="00C60A0B" w:rsidRDefault="00C60A0B" w:rsidP="00B535EE">
      <w:pPr>
        <w:pStyle w:val="Nadpis2"/>
        <w:numPr>
          <w:ilvl w:val="1"/>
          <w:numId w:val="15"/>
        </w:numPr>
        <w:rPr>
          <w:rStyle w:val="Siln"/>
          <w:rFonts w:cs="Times New Roman"/>
          <w:b/>
        </w:rPr>
      </w:pPr>
      <w:bookmarkStart w:id="57" w:name="_Toc31054455"/>
      <w:bookmarkEnd w:id="12"/>
      <w:r w:rsidRPr="00C60A0B">
        <w:rPr>
          <w:rStyle w:val="Siln"/>
          <w:rFonts w:cs="Times New Roman"/>
          <w:b/>
        </w:rPr>
        <w:lastRenderedPageBreak/>
        <w:t>Finanční charakteristiky podniků v moratoriu</w:t>
      </w:r>
      <w:bookmarkEnd w:id="57"/>
    </w:p>
    <w:p w:rsidR="00C60A0B" w:rsidRPr="00C60A0B" w:rsidRDefault="00C60A0B" w:rsidP="00C60A0B">
      <w:pPr>
        <w:rPr>
          <w:lang w:eastAsia="cs-CZ"/>
        </w:rPr>
      </w:pPr>
    </w:p>
    <w:p w:rsidR="00E32B04" w:rsidRPr="00E76418" w:rsidRDefault="00C60A0B" w:rsidP="00E76418">
      <w:pPr>
        <w:spacing w:after="240"/>
      </w:pPr>
      <w:r>
        <w:t>Výzkum se zaměřil na bližší analýzu vlivu vybraných finančních ukazatelů na indikátory úpadku u podniků, u kterých bylo vyhlášeno moratorium podle insolvenčního zákona. Pro analýzu byly použity finanční charakteristiky, u kterých má vypovídací schopnost jejich polarita, tedy skutečnost, jestli nabývají kladné či záporné hodnoty.  Členové projektového týmu se v návaznosti na své předchozí práce zaměřili na detailnější analýzu vlivu vybraných finančních charakteristik a zejména na jejich současné působení na úpadkové indikátory. Klíčovou otázkou bylo, jaká je míra vlivu těchto vybraných finančních charakteristik, pokud působí současně v rámci jednoho modelu. Bylo zjištěno, že míra jejich vlivu je obdobná, jako při oddělené analýze, avšak jejich významnost se značně liší.</w:t>
      </w:r>
      <w:bookmarkStart w:id="58" w:name="_Toc506069324"/>
      <w:bookmarkStart w:id="59" w:name="_Toc506149951"/>
    </w:p>
    <w:p w:rsidR="00C60A0B" w:rsidRDefault="00C60A0B" w:rsidP="005A5A62">
      <w:pPr>
        <w:pStyle w:val="Nadpis3"/>
        <w:numPr>
          <w:ilvl w:val="2"/>
          <w:numId w:val="15"/>
        </w:numPr>
        <w:ind w:left="1077"/>
      </w:pPr>
      <w:bookmarkStart w:id="60" w:name="_Toc31054456"/>
      <w:r w:rsidRPr="00E76418">
        <w:t>Datový</w:t>
      </w:r>
      <w:r>
        <w:t xml:space="preserve"> soubor</w:t>
      </w:r>
      <w:bookmarkEnd w:id="58"/>
      <w:bookmarkEnd w:id="59"/>
      <w:bookmarkEnd w:id="60"/>
    </w:p>
    <w:p w:rsidR="00C60A0B" w:rsidRDefault="00C60A0B" w:rsidP="00C60A0B">
      <w:r>
        <w:t xml:space="preserve">Datový soubor byl získán z databáze Bisnode Magnusweb, obsahuje podniky (právnické osoby), u kterých bylo na základě insolvenčního zákona vyhlášeno moratorium.  </w:t>
      </w:r>
      <w:r w:rsidR="00CD5E97">
        <w:t>Analyzovaný soubor</w:t>
      </w:r>
      <w:r>
        <w:t xml:space="preserve"> obsah</w:t>
      </w:r>
      <w:r w:rsidR="00CD5E97">
        <w:t>uje</w:t>
      </w:r>
      <w:r>
        <w:t xml:space="preserve"> </w:t>
      </w:r>
      <w:r w:rsidR="00E32B04">
        <w:t>54</w:t>
      </w:r>
      <w:r>
        <w:t xml:space="preserve"> podniků, u kterých bylo vyhlášeno moratorium v období od účinnosti insolvenčního zákona (1. ledna 2008) do konce roku 201</w:t>
      </w:r>
      <w:r w:rsidR="00E32B04">
        <w:t>8.</w:t>
      </w:r>
      <w:r>
        <w:t xml:space="preserve">  Jedná se o podniky registrované na celém území České republiky a představený vzorek pokrývá všechna vyhlášená moratoria v daném období. Finanční data byla analyzovaná za tři účetní období před vyhlášením moratoria. Dva podniky však byly ze souboru vyloučeny z důvodu absence relevantních dat. Zdrojem finančních dat jsou finanční výkazy, které byly rovněž získány z databáze Bisnode Magnusweb.</w:t>
      </w:r>
    </w:p>
    <w:p w:rsidR="00C60A0B" w:rsidRDefault="00C60A0B" w:rsidP="00C60A0B">
      <w:r>
        <w:t>V souboru byla dále identifikována relevantní data, a to finanční výkazy za tři roky před vyhlášením moratoria. Celkem bylo do zpracování zahrnuto 113 finančních výkazů, a to v následujícím členění dle období před vyhlášením moratoria. Množství zveřejněných finančních výkazů plně reflektuje situaci v České republice, kdy české podniky pravidelně nezveřejňují své účetní závěrky.</w:t>
      </w:r>
    </w:p>
    <w:p w:rsidR="00E32B04" w:rsidRDefault="00E32B04" w:rsidP="00C60A0B"/>
    <w:p w:rsidR="007C1EE6" w:rsidRDefault="007C1EE6" w:rsidP="007C1EE6">
      <w:pPr>
        <w:pStyle w:val="Titulek"/>
        <w:keepNext/>
      </w:pPr>
      <w:bookmarkStart w:id="61" w:name="_Toc31054799"/>
      <w:r>
        <w:t xml:space="preserve">Tabulka </w:t>
      </w:r>
      <w:r w:rsidR="00163A91">
        <w:rPr>
          <w:noProof/>
        </w:rPr>
        <w:fldChar w:fldCharType="begin"/>
      </w:r>
      <w:r w:rsidR="00EC5AA6">
        <w:rPr>
          <w:noProof/>
        </w:rPr>
        <w:instrText xml:space="preserve"> SEQ Tabulka \* ARABIC </w:instrText>
      </w:r>
      <w:r w:rsidR="00163A91">
        <w:rPr>
          <w:noProof/>
        </w:rPr>
        <w:fldChar w:fldCharType="separate"/>
      </w:r>
      <w:r>
        <w:rPr>
          <w:noProof/>
        </w:rPr>
        <w:t>23</w:t>
      </w:r>
      <w:r w:rsidR="00163A91">
        <w:rPr>
          <w:noProof/>
        </w:rPr>
        <w:fldChar w:fldCharType="end"/>
      </w:r>
      <w:r>
        <w:t xml:space="preserve"> Věková struktura dat</w:t>
      </w:r>
      <w:bookmarkEnd w:id="61"/>
    </w:p>
    <w:tbl>
      <w:tblPr>
        <w:tblW w:w="5000" w:type="pct"/>
        <w:tblCellMar>
          <w:left w:w="70" w:type="dxa"/>
          <w:right w:w="70" w:type="dxa"/>
        </w:tblCellMar>
        <w:tblLook w:val="04A0"/>
      </w:tblPr>
      <w:tblGrid>
        <w:gridCol w:w="7395"/>
        <w:gridCol w:w="1817"/>
      </w:tblGrid>
      <w:tr w:rsidR="00C60A0B" w:rsidRPr="00A707FB" w:rsidTr="00C60A0B">
        <w:trPr>
          <w:trHeight w:val="623"/>
        </w:trPr>
        <w:tc>
          <w:tcPr>
            <w:tcW w:w="4014" w:type="pct"/>
            <w:tcBorders>
              <w:top w:val="single" w:sz="4" w:space="0" w:color="auto"/>
              <w:left w:val="single" w:sz="4" w:space="0" w:color="auto"/>
              <w:bottom w:val="single" w:sz="4" w:space="0" w:color="152935"/>
              <w:right w:val="nil"/>
            </w:tcBorders>
            <w:shd w:val="clear" w:color="auto" w:fill="auto"/>
            <w:vAlign w:val="center"/>
            <w:hideMark/>
          </w:tcPr>
          <w:p w:rsidR="00C60A0B" w:rsidRPr="00A707FB" w:rsidRDefault="00C60A0B" w:rsidP="00A707FB">
            <w:pPr>
              <w:rPr>
                <w:sz w:val="18"/>
                <w:szCs w:val="18"/>
                <w:lang w:eastAsia="cs-CZ"/>
              </w:rPr>
            </w:pPr>
            <w:r w:rsidRPr="00A707FB">
              <w:rPr>
                <w:sz w:val="18"/>
                <w:szCs w:val="18"/>
                <w:lang w:eastAsia="cs-CZ"/>
              </w:rPr>
              <w:t> Období údajů</w:t>
            </w:r>
          </w:p>
        </w:tc>
        <w:tc>
          <w:tcPr>
            <w:tcW w:w="986" w:type="pct"/>
            <w:tcBorders>
              <w:top w:val="single" w:sz="4" w:space="0" w:color="auto"/>
              <w:left w:val="nil"/>
              <w:bottom w:val="single" w:sz="4" w:space="0" w:color="152935"/>
              <w:right w:val="single" w:sz="4" w:space="0" w:color="auto"/>
            </w:tcBorders>
            <w:shd w:val="clear" w:color="auto" w:fill="auto"/>
            <w:vAlign w:val="center"/>
            <w:hideMark/>
          </w:tcPr>
          <w:p w:rsidR="00C60A0B" w:rsidRPr="00A707FB" w:rsidRDefault="00C60A0B" w:rsidP="00A707FB">
            <w:pPr>
              <w:rPr>
                <w:sz w:val="18"/>
                <w:szCs w:val="18"/>
                <w:lang w:eastAsia="cs-CZ"/>
              </w:rPr>
            </w:pPr>
            <w:r w:rsidRPr="00A707FB">
              <w:rPr>
                <w:sz w:val="18"/>
                <w:szCs w:val="18"/>
                <w:lang w:eastAsia="cs-CZ"/>
              </w:rPr>
              <w:t>Počet podniků</w:t>
            </w:r>
          </w:p>
        </w:tc>
      </w:tr>
      <w:tr w:rsidR="00C60A0B" w:rsidRPr="00A707FB" w:rsidTr="00C60A0B">
        <w:trPr>
          <w:trHeight w:val="364"/>
        </w:trPr>
        <w:tc>
          <w:tcPr>
            <w:tcW w:w="4014" w:type="pct"/>
            <w:tcBorders>
              <w:top w:val="nil"/>
              <w:left w:val="single" w:sz="4" w:space="0" w:color="auto"/>
              <w:bottom w:val="single" w:sz="4" w:space="0" w:color="AEAEAE"/>
              <w:right w:val="nil"/>
            </w:tcBorders>
            <w:shd w:val="clear" w:color="000000" w:fill="E0E0E0"/>
            <w:vAlign w:val="center"/>
            <w:hideMark/>
          </w:tcPr>
          <w:p w:rsidR="00C60A0B" w:rsidRPr="00A707FB" w:rsidRDefault="00C60A0B" w:rsidP="00A707FB">
            <w:pPr>
              <w:rPr>
                <w:sz w:val="18"/>
                <w:szCs w:val="18"/>
                <w:lang w:eastAsia="cs-CZ"/>
              </w:rPr>
            </w:pPr>
            <w:r w:rsidRPr="00A707FB">
              <w:rPr>
                <w:sz w:val="18"/>
                <w:szCs w:val="18"/>
                <w:lang w:eastAsia="cs-CZ"/>
              </w:rPr>
              <w:t>1 rok před moratoriem</w:t>
            </w:r>
          </w:p>
        </w:tc>
        <w:tc>
          <w:tcPr>
            <w:tcW w:w="986" w:type="pct"/>
            <w:tcBorders>
              <w:top w:val="nil"/>
              <w:left w:val="nil"/>
              <w:bottom w:val="single" w:sz="4" w:space="0" w:color="AEAEAE"/>
              <w:right w:val="single" w:sz="4" w:space="0" w:color="auto"/>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27</w:t>
            </w:r>
          </w:p>
        </w:tc>
      </w:tr>
      <w:tr w:rsidR="00C60A0B" w:rsidRPr="00A707FB" w:rsidTr="00C60A0B">
        <w:trPr>
          <w:trHeight w:val="364"/>
        </w:trPr>
        <w:tc>
          <w:tcPr>
            <w:tcW w:w="4014" w:type="pct"/>
            <w:tcBorders>
              <w:top w:val="nil"/>
              <w:left w:val="single" w:sz="4" w:space="0" w:color="auto"/>
              <w:bottom w:val="single" w:sz="4" w:space="0" w:color="AEAEAE"/>
              <w:right w:val="nil"/>
            </w:tcBorders>
            <w:shd w:val="clear" w:color="000000" w:fill="E0E0E0"/>
            <w:vAlign w:val="center"/>
            <w:hideMark/>
          </w:tcPr>
          <w:p w:rsidR="00C60A0B" w:rsidRPr="00A707FB" w:rsidRDefault="00C60A0B" w:rsidP="00A707FB">
            <w:pPr>
              <w:rPr>
                <w:sz w:val="18"/>
                <w:szCs w:val="18"/>
                <w:lang w:eastAsia="cs-CZ"/>
              </w:rPr>
            </w:pPr>
            <w:r w:rsidRPr="00A707FB">
              <w:rPr>
                <w:sz w:val="18"/>
                <w:szCs w:val="18"/>
                <w:lang w:eastAsia="cs-CZ"/>
              </w:rPr>
              <w:t>2 roky před moratoriem</w:t>
            </w:r>
          </w:p>
        </w:tc>
        <w:tc>
          <w:tcPr>
            <w:tcW w:w="986" w:type="pct"/>
            <w:tcBorders>
              <w:top w:val="nil"/>
              <w:left w:val="nil"/>
              <w:bottom w:val="single" w:sz="4" w:space="0" w:color="AEAEAE"/>
              <w:right w:val="single" w:sz="4" w:space="0" w:color="auto"/>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40</w:t>
            </w:r>
          </w:p>
        </w:tc>
      </w:tr>
      <w:tr w:rsidR="00C60A0B" w:rsidRPr="00A707FB" w:rsidTr="00C60A0B">
        <w:trPr>
          <w:trHeight w:val="364"/>
        </w:trPr>
        <w:tc>
          <w:tcPr>
            <w:tcW w:w="4014" w:type="pct"/>
            <w:tcBorders>
              <w:top w:val="nil"/>
              <w:left w:val="single" w:sz="4" w:space="0" w:color="auto"/>
              <w:bottom w:val="single" w:sz="4" w:space="0" w:color="AEAEAE"/>
              <w:right w:val="nil"/>
            </w:tcBorders>
            <w:shd w:val="clear" w:color="000000" w:fill="E0E0E0"/>
            <w:vAlign w:val="center"/>
            <w:hideMark/>
          </w:tcPr>
          <w:p w:rsidR="00C60A0B" w:rsidRPr="00A707FB" w:rsidRDefault="00C60A0B" w:rsidP="00A707FB">
            <w:pPr>
              <w:rPr>
                <w:sz w:val="18"/>
                <w:szCs w:val="18"/>
                <w:lang w:eastAsia="cs-CZ"/>
              </w:rPr>
            </w:pPr>
            <w:r w:rsidRPr="00A707FB">
              <w:rPr>
                <w:sz w:val="18"/>
                <w:szCs w:val="18"/>
                <w:lang w:eastAsia="cs-CZ"/>
              </w:rPr>
              <w:t>3 roky před moratoriem</w:t>
            </w:r>
          </w:p>
        </w:tc>
        <w:tc>
          <w:tcPr>
            <w:tcW w:w="986" w:type="pct"/>
            <w:tcBorders>
              <w:top w:val="nil"/>
              <w:left w:val="nil"/>
              <w:bottom w:val="single" w:sz="4" w:space="0" w:color="AEAEAE"/>
              <w:right w:val="single" w:sz="4" w:space="0" w:color="auto"/>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46</w:t>
            </w:r>
          </w:p>
        </w:tc>
      </w:tr>
      <w:tr w:rsidR="00C60A0B" w:rsidRPr="00A707FB" w:rsidTr="00C60A0B">
        <w:trPr>
          <w:trHeight w:val="364"/>
        </w:trPr>
        <w:tc>
          <w:tcPr>
            <w:tcW w:w="4014" w:type="pct"/>
            <w:tcBorders>
              <w:top w:val="nil"/>
              <w:left w:val="single" w:sz="4" w:space="0" w:color="auto"/>
              <w:bottom w:val="single" w:sz="4" w:space="0" w:color="auto"/>
              <w:right w:val="nil"/>
            </w:tcBorders>
            <w:shd w:val="clear" w:color="000000" w:fill="E0E0E0"/>
            <w:vAlign w:val="center"/>
            <w:hideMark/>
          </w:tcPr>
          <w:p w:rsidR="00C60A0B" w:rsidRPr="00A707FB" w:rsidRDefault="00C60A0B" w:rsidP="00A707FB">
            <w:pPr>
              <w:rPr>
                <w:sz w:val="18"/>
                <w:szCs w:val="18"/>
                <w:lang w:eastAsia="cs-CZ"/>
              </w:rPr>
            </w:pPr>
            <w:r w:rsidRPr="00A707FB">
              <w:rPr>
                <w:sz w:val="18"/>
                <w:szCs w:val="18"/>
                <w:lang w:eastAsia="cs-CZ"/>
              </w:rPr>
              <w:t>Celkem</w:t>
            </w:r>
          </w:p>
        </w:tc>
        <w:tc>
          <w:tcPr>
            <w:tcW w:w="986" w:type="pct"/>
            <w:tcBorders>
              <w:top w:val="nil"/>
              <w:left w:val="nil"/>
              <w:bottom w:val="single" w:sz="4" w:space="0" w:color="auto"/>
              <w:right w:val="single" w:sz="4" w:space="0" w:color="auto"/>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113</w:t>
            </w:r>
          </w:p>
        </w:tc>
      </w:tr>
    </w:tbl>
    <w:p w:rsidR="00E32B04" w:rsidRDefault="00E32B04" w:rsidP="00C60A0B"/>
    <w:p w:rsidR="00C60A0B" w:rsidRPr="00F76B5F" w:rsidRDefault="00C60A0B" w:rsidP="00C60A0B">
      <w:r>
        <w:t xml:space="preserve">Na základě získaných dat z finančních výkazů pak byly u vybraných ukazatelů </w:t>
      </w:r>
      <w:r w:rsidRPr="00F76B5F">
        <w:t xml:space="preserve">vytvořeny dichotomické binární proměnné, u kterých má vypovídací schopnost jejich polarita, tedy skutečnost, zda jsou kladné či záporné. V případě, že původní proměnná je kladná, nabude příslušná dichotomická proměnná hodnotu nula, pokud je původní proměnná záporná, nabude </w:t>
      </w:r>
      <w:r w:rsidRPr="00F76B5F">
        <w:lastRenderedPageBreak/>
        <w:t>příslušná dichotomická proměnná hodnotu jedna. Tento postup byl zvolen u následujících proměnných:</w:t>
      </w:r>
    </w:p>
    <w:p w:rsidR="00C60A0B" w:rsidRDefault="00C60A0B" w:rsidP="005A5A62">
      <w:pPr>
        <w:pStyle w:val="Odstavecseseznamem"/>
        <w:numPr>
          <w:ilvl w:val="0"/>
          <w:numId w:val="18"/>
        </w:numPr>
        <w:spacing w:after="200" w:line="360" w:lineRule="auto"/>
      </w:pPr>
      <w:r>
        <w:t>primární EBITDA, která představuje výkony po odečtu výkonové spotřeby a osobních nákladů,</w:t>
      </w:r>
    </w:p>
    <w:p w:rsidR="00C60A0B" w:rsidRDefault="00C60A0B" w:rsidP="005A5A62">
      <w:pPr>
        <w:pStyle w:val="Odstavecseseznamem"/>
        <w:numPr>
          <w:ilvl w:val="0"/>
          <w:numId w:val="18"/>
        </w:numPr>
        <w:spacing w:after="200" w:line="360" w:lineRule="auto"/>
      </w:pPr>
      <w:r>
        <w:t>deficit nutné hotovosti, který představuje rozdíl nutné hotovosti stanovené na základě požadavku na dosažení alespoň 15% úrovně ukazatele okamžité (peněžní) likvidity</w:t>
      </w:r>
      <w:r w:rsidRPr="005811DC">
        <w:rPr>
          <w:rStyle w:val="Znakapoznpodarou"/>
        </w:rPr>
        <w:t xml:space="preserve"> </w:t>
      </w:r>
      <w:r>
        <w:rPr>
          <w:rStyle w:val="Znakapoznpodarou"/>
        </w:rPr>
        <w:footnoteReference w:id="1"/>
      </w:r>
      <w:r>
        <w:t xml:space="preserve"> a hotovosti skutečné,</w:t>
      </w:r>
    </w:p>
    <w:p w:rsidR="00C60A0B" w:rsidRDefault="00C60A0B" w:rsidP="005A5A62">
      <w:pPr>
        <w:pStyle w:val="Odstavecseseznamem"/>
        <w:numPr>
          <w:ilvl w:val="0"/>
          <w:numId w:val="18"/>
        </w:numPr>
        <w:spacing w:after="200" w:line="360" w:lineRule="auto"/>
      </w:pPr>
      <w:r>
        <w:t>saldo primárních nepeněžních složek pracovního kapitálu (NSPK), které je stanoveno jako rozdíl aktivních a pasivních NSPK, kde aktivní NSPK představují zásoby, obchodní pohledávky a pasivní NSPK obchodní závazky a závazky z osobních nákladů,</w:t>
      </w:r>
    </w:p>
    <w:p w:rsidR="00C60A0B" w:rsidRDefault="00C60A0B" w:rsidP="005A5A62">
      <w:pPr>
        <w:pStyle w:val="Odstavecseseznamem"/>
        <w:numPr>
          <w:ilvl w:val="0"/>
          <w:numId w:val="18"/>
        </w:numPr>
        <w:spacing w:after="200" w:line="360" w:lineRule="auto"/>
      </w:pPr>
      <w:r>
        <w:t>vlastní kapitál.</w:t>
      </w:r>
    </w:p>
    <w:p w:rsidR="00C60A0B" w:rsidRDefault="00C60A0B" w:rsidP="00E76418">
      <w:pPr>
        <w:spacing w:after="240"/>
      </w:pPr>
      <w:r>
        <w:t xml:space="preserve">Výše uvedené ukazatele byly zvoleny na základě zkušeností </w:t>
      </w:r>
      <w:r w:rsidR="00E32B04">
        <w:t>členů projektového týmu</w:t>
      </w:r>
      <w:r w:rsidR="00E76418">
        <w:t xml:space="preserve"> </w:t>
      </w:r>
      <w:r>
        <w:t>z jejich dlouholeté praxe v oblasti ohrožených podniků a jejich následné restrukturalizace a reorganizace. Tyto ukazatele se v praxi ukázaly jako signifikantní pro společnosti ohrožené podnikovou krizí.</w:t>
      </w:r>
    </w:p>
    <w:p w:rsidR="00C60A0B" w:rsidRDefault="00C60A0B" w:rsidP="005A5A62">
      <w:pPr>
        <w:pStyle w:val="Nadpis3"/>
        <w:numPr>
          <w:ilvl w:val="2"/>
          <w:numId w:val="15"/>
        </w:numPr>
      </w:pPr>
      <w:bookmarkStart w:id="62" w:name="_Toc31054457"/>
      <w:r>
        <w:t>Použité metody</w:t>
      </w:r>
      <w:bookmarkEnd w:id="62"/>
    </w:p>
    <w:p w:rsidR="00C60A0B" w:rsidRDefault="00C60A0B" w:rsidP="00A707FB">
      <w:r>
        <w:t>Jak již bylo uvedeno, hlavním cílem prezentovaného výzkumu je analýza současného působení vybraných finančních charakteristik na indikátory úpadku, kdy jako indikátory úpadku byly zvoleny polarita deficitu nutné hotovosti (jako indikátor potenciální platební neschopnosti) a polarita vlastního kapitálu (jako indikátor potenciálního předlužení) ve vztahu k polaritě ostatních poměrových ukazatelů. Zvolené indikátory úpadku kopírují podmínky insolvenčního zákona, kdy je možno úpadek subjektu zjistit na základě platební neschopnosti nebo předlužení, pokud má subjekt alespoň dva věřitele.</w:t>
      </w:r>
    </w:p>
    <w:p w:rsidR="00C60A0B" w:rsidRDefault="00C60A0B" w:rsidP="00A707FB">
      <w:r>
        <w:t>V přechozím (výše zmíněném) výzkumu, byly závislosti úpadkových indikátorů na polaritě vybraných finančních charakteristik analyzovány ve čtyřpolní tabulce pomocí poměru šancí, speciální míry závislosti určené pro čtyřpolní tabulky. Právě skutečnost, že byly analyzovány dichotomické binární proměnné</w:t>
      </w:r>
      <w:r w:rsidR="00E76418">
        <w:t>,</w:t>
      </w:r>
      <w:r>
        <w:t xml:space="preserve"> umožňuje použití tohoto přístupu. Analýza závislosti pomocí poměru šancí byla použita i na rozšířený datový soubor </w:t>
      </w:r>
      <w:r w:rsidRPr="000543DD">
        <w:t xml:space="preserve">v tomto výzkumu, kde byla řešena otázka, </w:t>
      </w:r>
      <w:r>
        <w:t>jak na</w:t>
      </w:r>
      <w:r w:rsidRPr="000543DD">
        <w:t xml:space="preserve"> změn</w:t>
      </w:r>
      <w:r>
        <w:t>u</w:t>
      </w:r>
      <w:r w:rsidRPr="000543DD">
        <w:t xml:space="preserve"> polarity deficitu nutné hotovosti a vlastního kapitálu </w:t>
      </w:r>
      <w:r>
        <w:t>působí změna</w:t>
      </w:r>
      <w:r w:rsidRPr="000543DD">
        <w:t xml:space="preserve"> polarit</w:t>
      </w:r>
      <w:r>
        <w:t>y</w:t>
      </w:r>
      <w:r w:rsidRPr="000543DD">
        <w:t xml:space="preserve"> ostatních vybraných ukazatelů</w:t>
      </w:r>
      <w:r>
        <w:t xml:space="preserve">. Jak již bylo uvedeno, pomocí poměru šancí ve čtyřpolní tabulce jsou analyzovány vlivy jednotlivých dichotomických proměnných (polarit vybraných ukazatelů) odděleně, vysvětlovanou proměnnou je příslušný indikátor úpadku, resp. jeho polarita, vysvětlující proměnnými jsou pak odděleně polarita ostatních zvolených ukazatelů. </w:t>
      </w:r>
    </w:p>
    <w:p w:rsidR="00C60A0B" w:rsidRDefault="00C60A0B" w:rsidP="00A707FB">
      <w:r>
        <w:t xml:space="preserve">Pro analýzu současného působení všech vybraných proměnných pak byla použita logistická regrese. Je-li v modelu logistické regrese jediná dichotomická vysvětlující proměnná, pak </w:t>
      </w:r>
      <w:r>
        <w:lastRenderedPageBreak/>
        <w:t xml:space="preserve">model vychází ze stejných vztahů, jako zmiňovaný poměr šancí ve čtyřpolní tabulce. Pomocí modelu logistické regrese s jednou vysvětlující dichotomickou proměnnou je tak dosaženo stejného výsledku jako v případě využití poměru šancí ve čtyřpolní tabulce. Na rozdíl od čtyřpolní tabulky však model logistické regrese umožňuje zařadit více vysvětlujících proměnných, v našem případě všechny analyzované dichotomické vysvětlující proměnné (polarity vybraných ukazatelů) a tím analyzovat míru vlivu těchto jednotlivých proměnných na indikátory úpadku současně. Jako referenční kategorie vysvětlující proměnné byla zvolena nula, tedy stav, kdy původní proměnná je kladná. </w:t>
      </w:r>
    </w:p>
    <w:p w:rsidR="00C60A0B" w:rsidRDefault="00C60A0B" w:rsidP="00A707FB">
      <w:r>
        <w:t>Dále uvedené vztahy jsou metodickým východiskem pro použití logistické regrese pro analýzu současného působení vybraných finančních charakteristik na úpadkové indikátory, byť si autoři (jak je dále uvedeno) nekladou za cíl vytvoření skóringového či jiného obdobného modelu.</w:t>
      </w:r>
    </w:p>
    <w:p w:rsidR="00E32B04" w:rsidRDefault="00E32B04" w:rsidP="00C60A0B"/>
    <w:p w:rsidR="00C60A0B" w:rsidRDefault="007C1EE6" w:rsidP="007C1EE6">
      <w:pPr>
        <w:pStyle w:val="Titulek"/>
      </w:pPr>
      <w:bookmarkStart w:id="63" w:name="_Toc31054800"/>
      <w:r>
        <w:t xml:space="preserve">Tabulka </w:t>
      </w:r>
      <w:proofErr w:type="gramStart"/>
      <w:r w:rsidR="00163A91">
        <w:rPr>
          <w:noProof/>
        </w:rPr>
        <w:fldChar w:fldCharType="begin"/>
      </w:r>
      <w:r w:rsidR="00EC5AA6">
        <w:rPr>
          <w:noProof/>
        </w:rPr>
        <w:instrText xml:space="preserve"> SEQ Tabulka \* ARABIC </w:instrText>
      </w:r>
      <w:r w:rsidR="00163A91">
        <w:rPr>
          <w:noProof/>
        </w:rPr>
        <w:fldChar w:fldCharType="separate"/>
      </w:r>
      <w:r>
        <w:rPr>
          <w:noProof/>
        </w:rPr>
        <w:t>24</w:t>
      </w:r>
      <w:r w:rsidR="00163A91">
        <w:rPr>
          <w:noProof/>
        </w:rPr>
        <w:fldChar w:fldCharType="end"/>
      </w:r>
      <w:r>
        <w:t xml:space="preserve"> </w:t>
      </w:r>
      <w:r w:rsidR="00C60A0B">
        <w:t xml:space="preserve"> – Definice</w:t>
      </w:r>
      <w:proofErr w:type="gramEnd"/>
      <w:r w:rsidR="00C60A0B">
        <w:t xml:space="preserve"> čtyřpolní tabulky pro stanovení poměru šancí</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3255"/>
        <w:gridCol w:w="2313"/>
        <w:gridCol w:w="2042"/>
      </w:tblGrid>
      <w:tr w:rsidR="00C60A0B" w:rsidRPr="00901532" w:rsidTr="00E32B04">
        <w:trPr>
          <w:trHeight w:val="452"/>
        </w:trPr>
        <w:tc>
          <w:tcPr>
            <w:tcW w:w="904" w:type="pct"/>
            <w:vMerge w:val="restart"/>
            <w:vAlign w:val="center"/>
          </w:tcPr>
          <w:p w:rsidR="00C60A0B" w:rsidRPr="00A707FB" w:rsidRDefault="00C60A0B" w:rsidP="00A707FB">
            <w:pPr>
              <w:rPr>
                <w:i/>
                <w:sz w:val="18"/>
                <w:szCs w:val="18"/>
              </w:rPr>
            </w:pPr>
            <w:r w:rsidRPr="00A707FB">
              <w:rPr>
                <w:sz w:val="18"/>
                <w:szCs w:val="18"/>
              </w:rPr>
              <w:t>Typ proměnné</w:t>
            </w:r>
          </w:p>
        </w:tc>
        <w:tc>
          <w:tcPr>
            <w:tcW w:w="1752" w:type="pct"/>
            <w:vMerge w:val="restart"/>
            <w:vAlign w:val="center"/>
          </w:tcPr>
          <w:p w:rsidR="00C60A0B" w:rsidRPr="00A707FB" w:rsidRDefault="00C60A0B" w:rsidP="00A707FB">
            <w:pPr>
              <w:rPr>
                <w:i/>
                <w:sz w:val="18"/>
                <w:szCs w:val="18"/>
              </w:rPr>
            </w:pPr>
            <w:r w:rsidRPr="00A707FB">
              <w:rPr>
                <w:sz w:val="18"/>
                <w:szCs w:val="18"/>
              </w:rPr>
              <w:t>Kategorie vysvětlované a vysvětlující proměnné</w:t>
            </w:r>
          </w:p>
        </w:tc>
        <w:tc>
          <w:tcPr>
            <w:tcW w:w="2344" w:type="pct"/>
            <w:gridSpan w:val="2"/>
            <w:vAlign w:val="center"/>
          </w:tcPr>
          <w:p w:rsidR="00C60A0B" w:rsidRPr="00A707FB" w:rsidRDefault="00C60A0B" w:rsidP="00A707FB">
            <w:pPr>
              <w:rPr>
                <w:i/>
                <w:sz w:val="18"/>
                <w:szCs w:val="18"/>
              </w:rPr>
            </w:pPr>
            <w:r w:rsidRPr="00A707FB">
              <w:rPr>
                <w:sz w:val="18"/>
                <w:szCs w:val="18"/>
              </w:rPr>
              <w:t>Vysvětlovaná proměnná</w:t>
            </w:r>
          </w:p>
        </w:tc>
      </w:tr>
      <w:tr w:rsidR="00C60A0B" w:rsidRPr="00901532" w:rsidTr="00E32B04">
        <w:trPr>
          <w:trHeight w:hRule="exact" w:val="1331"/>
        </w:trPr>
        <w:tc>
          <w:tcPr>
            <w:tcW w:w="904" w:type="pct"/>
            <w:vMerge/>
            <w:vAlign w:val="center"/>
          </w:tcPr>
          <w:p w:rsidR="00C60A0B" w:rsidRPr="00A707FB" w:rsidRDefault="00C60A0B" w:rsidP="00A707FB">
            <w:pPr>
              <w:rPr>
                <w:i/>
                <w:sz w:val="18"/>
                <w:szCs w:val="18"/>
              </w:rPr>
            </w:pPr>
          </w:p>
        </w:tc>
        <w:tc>
          <w:tcPr>
            <w:tcW w:w="1752" w:type="pct"/>
            <w:vMerge/>
            <w:vAlign w:val="center"/>
          </w:tcPr>
          <w:p w:rsidR="00C60A0B" w:rsidRPr="00A707FB" w:rsidRDefault="00C60A0B" w:rsidP="00A707FB">
            <w:pPr>
              <w:rPr>
                <w:i/>
                <w:sz w:val="18"/>
                <w:szCs w:val="18"/>
              </w:rPr>
            </w:pPr>
          </w:p>
        </w:tc>
        <w:tc>
          <w:tcPr>
            <w:tcW w:w="1245" w:type="pct"/>
          </w:tcPr>
          <w:p w:rsidR="00C60A0B" w:rsidRPr="00A707FB" w:rsidRDefault="00C60A0B" w:rsidP="00A707FB">
            <w:pPr>
              <w:rPr>
                <w:sz w:val="18"/>
                <w:szCs w:val="18"/>
              </w:rPr>
            </w:pPr>
            <w:r w:rsidRPr="00A707FB">
              <w:rPr>
                <w:sz w:val="18"/>
                <w:szCs w:val="18"/>
              </w:rPr>
              <w:t>Kategorie 0</w:t>
            </w:r>
          </w:p>
          <w:p w:rsidR="00C60A0B" w:rsidRPr="00A707FB" w:rsidRDefault="00C60A0B" w:rsidP="00A707FB">
            <w:pPr>
              <w:rPr>
                <w:sz w:val="18"/>
                <w:szCs w:val="18"/>
              </w:rPr>
            </w:pPr>
            <w:r w:rsidRPr="00A707FB">
              <w:rPr>
                <w:sz w:val="18"/>
                <w:szCs w:val="18"/>
              </w:rPr>
              <w:t>„</w:t>
            </w:r>
            <w:r w:rsidRPr="00A707FB">
              <w:rPr>
                <w:i/>
                <w:sz w:val="18"/>
                <w:szCs w:val="18"/>
              </w:rPr>
              <w:t>jev nenastal</w:t>
            </w:r>
            <w:r w:rsidRPr="00A707FB">
              <w:rPr>
                <w:sz w:val="18"/>
                <w:szCs w:val="18"/>
              </w:rPr>
              <w:t>“ (referenční)</w:t>
            </w:r>
          </w:p>
          <w:p w:rsidR="00C60A0B" w:rsidRPr="00A707FB" w:rsidRDefault="00C60A0B" w:rsidP="00A707FB">
            <w:pPr>
              <w:rPr>
                <w:sz w:val="18"/>
                <w:szCs w:val="18"/>
              </w:rPr>
            </w:pPr>
          </w:p>
        </w:tc>
        <w:tc>
          <w:tcPr>
            <w:tcW w:w="1099" w:type="pct"/>
          </w:tcPr>
          <w:p w:rsidR="00C60A0B" w:rsidRPr="00A707FB" w:rsidRDefault="00C60A0B" w:rsidP="00A707FB">
            <w:pPr>
              <w:rPr>
                <w:sz w:val="18"/>
                <w:szCs w:val="18"/>
              </w:rPr>
            </w:pPr>
            <w:r w:rsidRPr="00A707FB">
              <w:rPr>
                <w:sz w:val="18"/>
                <w:szCs w:val="18"/>
              </w:rPr>
              <w:t>Kategorie 1</w:t>
            </w:r>
          </w:p>
          <w:p w:rsidR="00C60A0B" w:rsidRPr="00A707FB" w:rsidRDefault="00C60A0B" w:rsidP="00A707FB">
            <w:pPr>
              <w:rPr>
                <w:sz w:val="18"/>
                <w:szCs w:val="18"/>
              </w:rPr>
            </w:pPr>
            <w:r w:rsidRPr="00A707FB">
              <w:rPr>
                <w:sz w:val="18"/>
                <w:szCs w:val="18"/>
              </w:rPr>
              <w:t>„</w:t>
            </w:r>
            <w:r w:rsidRPr="00A707FB">
              <w:rPr>
                <w:i/>
                <w:sz w:val="18"/>
                <w:szCs w:val="18"/>
              </w:rPr>
              <w:t>jev nastal</w:t>
            </w:r>
            <w:r w:rsidRPr="00A707FB">
              <w:rPr>
                <w:sz w:val="18"/>
                <w:szCs w:val="18"/>
              </w:rPr>
              <w:t>“</w:t>
            </w:r>
          </w:p>
        </w:tc>
      </w:tr>
      <w:tr w:rsidR="00C60A0B" w:rsidRPr="00901532" w:rsidTr="00E32B04">
        <w:trPr>
          <w:trHeight w:val="322"/>
        </w:trPr>
        <w:tc>
          <w:tcPr>
            <w:tcW w:w="904" w:type="pct"/>
            <w:vMerge w:val="restart"/>
            <w:vAlign w:val="center"/>
          </w:tcPr>
          <w:p w:rsidR="00C60A0B" w:rsidRPr="00A707FB" w:rsidRDefault="00C60A0B" w:rsidP="00A707FB">
            <w:pPr>
              <w:rPr>
                <w:i/>
                <w:sz w:val="18"/>
                <w:szCs w:val="18"/>
              </w:rPr>
            </w:pPr>
            <w:r w:rsidRPr="00A707FB">
              <w:rPr>
                <w:sz w:val="18"/>
                <w:szCs w:val="18"/>
              </w:rPr>
              <w:t>Vysvětlující proměnná</w:t>
            </w:r>
          </w:p>
        </w:tc>
        <w:tc>
          <w:tcPr>
            <w:tcW w:w="1752" w:type="pct"/>
            <w:vAlign w:val="center"/>
          </w:tcPr>
          <w:p w:rsidR="00C60A0B" w:rsidRPr="00A707FB" w:rsidRDefault="00C60A0B" w:rsidP="00A707FB">
            <w:pPr>
              <w:rPr>
                <w:i/>
                <w:sz w:val="18"/>
                <w:szCs w:val="18"/>
              </w:rPr>
            </w:pPr>
            <w:r w:rsidRPr="00A707FB">
              <w:rPr>
                <w:sz w:val="18"/>
                <w:szCs w:val="18"/>
              </w:rPr>
              <w:t>Kategorie 0 „jev nenastal“ (referenční)</w:t>
            </w:r>
          </w:p>
        </w:tc>
        <w:tc>
          <w:tcPr>
            <w:tcW w:w="1245" w:type="pct"/>
            <w:vAlign w:val="center"/>
          </w:tcPr>
          <w:p w:rsidR="00C60A0B" w:rsidRPr="00A707FB" w:rsidRDefault="00C60A0B" w:rsidP="00A707FB">
            <w:pPr>
              <w:rPr>
                <w:i/>
                <w:sz w:val="18"/>
                <w:szCs w:val="18"/>
              </w:rPr>
            </w:pPr>
            <m:oMathPara>
              <m:oMath>
                <m:r>
                  <w:rPr>
                    <w:rFonts w:ascii="Cambria Math" w:eastAsiaTheme="minorEastAsia" w:hAnsi="Cambria Math"/>
                    <w:sz w:val="18"/>
                    <w:szCs w:val="18"/>
                  </w:rPr>
                  <m:t>1-</m:t>
                </m:r>
                <m:sSub>
                  <m:sSubPr>
                    <m:ctrlPr>
                      <w:rPr>
                        <w:rFonts w:ascii="Cambria Math" w:hAnsi="Cambria Math"/>
                        <w:sz w:val="18"/>
                        <w:szCs w:val="18"/>
                      </w:rPr>
                    </m:ctrlPr>
                  </m:sSubPr>
                  <m:e>
                    <m:r>
                      <w:rPr>
                        <w:rFonts w:ascii="Cambria Math" w:eastAsiaTheme="minorEastAsia" w:hAnsi="Cambria Math"/>
                        <w:sz w:val="18"/>
                        <w:szCs w:val="18"/>
                      </w:rPr>
                      <m:t>π</m:t>
                    </m:r>
                  </m:e>
                  <m:sub>
                    <m:r>
                      <w:rPr>
                        <w:rFonts w:ascii="Cambria Math" w:hAnsi="Cambria Math"/>
                        <w:sz w:val="18"/>
                        <w:szCs w:val="18"/>
                      </w:rPr>
                      <m:t>0</m:t>
                    </m:r>
                  </m:sub>
                </m:sSub>
              </m:oMath>
            </m:oMathPara>
          </w:p>
        </w:tc>
        <w:tc>
          <w:tcPr>
            <w:tcW w:w="1099" w:type="pct"/>
            <w:vAlign w:val="center"/>
          </w:tcPr>
          <w:p w:rsidR="00C60A0B" w:rsidRPr="00A707FB" w:rsidRDefault="00163A91" w:rsidP="00A707FB">
            <w:pPr>
              <w:rPr>
                <w:i/>
                <w:sz w:val="18"/>
                <w:szCs w:val="18"/>
              </w:rPr>
            </w:pPr>
            <m:oMathPara>
              <m:oMath>
                <m:sSub>
                  <m:sSubPr>
                    <m:ctrlPr>
                      <w:rPr>
                        <w:rFonts w:ascii="Cambria Math" w:hAnsi="Cambria Math"/>
                        <w:sz w:val="18"/>
                        <w:szCs w:val="18"/>
                      </w:rPr>
                    </m:ctrlPr>
                  </m:sSubPr>
                  <m:e>
                    <m:r>
                      <w:rPr>
                        <w:rFonts w:ascii="Cambria Math" w:eastAsiaTheme="minorEastAsia" w:hAnsi="Cambria Math"/>
                        <w:sz w:val="18"/>
                        <w:szCs w:val="18"/>
                      </w:rPr>
                      <m:t>π</m:t>
                    </m:r>
                  </m:e>
                  <m:sub>
                    <m:r>
                      <w:rPr>
                        <w:rFonts w:ascii="Cambria Math" w:hAnsi="Cambria Math"/>
                        <w:sz w:val="18"/>
                        <w:szCs w:val="18"/>
                      </w:rPr>
                      <m:t>0</m:t>
                    </m:r>
                  </m:sub>
                </m:sSub>
              </m:oMath>
            </m:oMathPara>
          </w:p>
        </w:tc>
      </w:tr>
      <w:tr w:rsidR="00C60A0B" w:rsidRPr="00901532" w:rsidTr="00E32B04">
        <w:trPr>
          <w:trHeight w:val="874"/>
        </w:trPr>
        <w:tc>
          <w:tcPr>
            <w:tcW w:w="904" w:type="pct"/>
            <w:vMerge/>
            <w:vAlign w:val="center"/>
          </w:tcPr>
          <w:p w:rsidR="00C60A0B" w:rsidRPr="00A707FB" w:rsidRDefault="00C60A0B" w:rsidP="00A707FB">
            <w:pPr>
              <w:rPr>
                <w:i/>
                <w:sz w:val="18"/>
                <w:szCs w:val="18"/>
              </w:rPr>
            </w:pPr>
          </w:p>
        </w:tc>
        <w:tc>
          <w:tcPr>
            <w:tcW w:w="1752" w:type="pct"/>
            <w:vAlign w:val="center"/>
          </w:tcPr>
          <w:p w:rsidR="00C60A0B" w:rsidRPr="00A707FB" w:rsidRDefault="00C60A0B" w:rsidP="00A707FB">
            <w:pPr>
              <w:rPr>
                <w:sz w:val="18"/>
                <w:szCs w:val="18"/>
              </w:rPr>
            </w:pPr>
            <w:r w:rsidRPr="00A707FB">
              <w:rPr>
                <w:sz w:val="18"/>
                <w:szCs w:val="18"/>
              </w:rPr>
              <w:t xml:space="preserve">Kategorie 1 „jev nastal“ </w:t>
            </w:r>
          </w:p>
        </w:tc>
        <w:tc>
          <w:tcPr>
            <w:tcW w:w="1245" w:type="pct"/>
            <w:vAlign w:val="center"/>
          </w:tcPr>
          <w:p w:rsidR="00C60A0B" w:rsidRPr="00A707FB" w:rsidRDefault="00C60A0B" w:rsidP="00A707FB">
            <w:pPr>
              <w:rPr>
                <w:i/>
                <w:sz w:val="18"/>
                <w:szCs w:val="18"/>
              </w:rPr>
            </w:pPr>
            <m:oMathPara>
              <m:oMath>
                <m:r>
                  <w:rPr>
                    <w:rFonts w:ascii="Cambria Math" w:eastAsiaTheme="minorEastAsia" w:hAnsi="Cambria Math"/>
                    <w:sz w:val="18"/>
                    <w:szCs w:val="18"/>
                  </w:rPr>
                  <m:t>1-</m:t>
                </m:r>
                <m:sSub>
                  <m:sSubPr>
                    <m:ctrlPr>
                      <w:rPr>
                        <w:rFonts w:ascii="Cambria Math" w:hAnsi="Cambria Math"/>
                        <w:sz w:val="18"/>
                        <w:szCs w:val="18"/>
                      </w:rPr>
                    </m:ctrlPr>
                  </m:sSubPr>
                  <m:e>
                    <m:r>
                      <w:rPr>
                        <w:rFonts w:ascii="Cambria Math" w:eastAsiaTheme="minorEastAsia" w:hAnsi="Cambria Math"/>
                        <w:sz w:val="18"/>
                        <w:szCs w:val="18"/>
                      </w:rPr>
                      <m:t>π</m:t>
                    </m:r>
                  </m:e>
                  <m:sub>
                    <m:r>
                      <w:rPr>
                        <w:rFonts w:ascii="Cambria Math" w:hAnsi="Cambria Math"/>
                        <w:sz w:val="18"/>
                        <w:szCs w:val="18"/>
                      </w:rPr>
                      <m:t>1</m:t>
                    </m:r>
                  </m:sub>
                </m:sSub>
              </m:oMath>
            </m:oMathPara>
          </w:p>
        </w:tc>
        <w:tc>
          <w:tcPr>
            <w:tcW w:w="1099" w:type="pct"/>
            <w:vAlign w:val="center"/>
          </w:tcPr>
          <w:p w:rsidR="00C60A0B" w:rsidRPr="00A707FB" w:rsidRDefault="00163A91" w:rsidP="00A707FB">
            <w:pPr>
              <w:rPr>
                <w:i/>
                <w:sz w:val="18"/>
                <w:szCs w:val="18"/>
              </w:rPr>
            </w:pPr>
            <m:oMathPara>
              <m:oMath>
                <m:sSub>
                  <m:sSubPr>
                    <m:ctrlPr>
                      <w:rPr>
                        <w:rFonts w:ascii="Cambria Math" w:hAnsi="Cambria Math"/>
                        <w:sz w:val="18"/>
                        <w:szCs w:val="18"/>
                      </w:rPr>
                    </m:ctrlPr>
                  </m:sSubPr>
                  <m:e>
                    <m:r>
                      <w:rPr>
                        <w:rFonts w:ascii="Cambria Math" w:eastAsiaTheme="minorEastAsia" w:hAnsi="Cambria Math"/>
                        <w:sz w:val="18"/>
                        <w:szCs w:val="18"/>
                      </w:rPr>
                      <m:t>π</m:t>
                    </m:r>
                  </m:e>
                  <m:sub>
                    <m:r>
                      <w:rPr>
                        <w:rFonts w:ascii="Cambria Math" w:hAnsi="Cambria Math"/>
                        <w:sz w:val="18"/>
                        <w:szCs w:val="18"/>
                      </w:rPr>
                      <m:t>1</m:t>
                    </m:r>
                  </m:sub>
                </m:sSub>
              </m:oMath>
            </m:oMathPara>
          </w:p>
        </w:tc>
      </w:tr>
    </w:tbl>
    <w:p w:rsidR="00E32B04" w:rsidRDefault="00E32B04" w:rsidP="00C60A0B"/>
    <w:p w:rsidR="00C60A0B" w:rsidRPr="00F77654" w:rsidRDefault="00C60A0B" w:rsidP="00A707FB">
      <w:r>
        <w:t>kde </w:t>
      </w:r>
      <w:r>
        <w:rPr>
          <w:rFonts w:ascii="Symbol" w:hAnsi="Symbol"/>
        </w:rPr>
        <w:t></w:t>
      </w:r>
      <w:r>
        <w:rPr>
          <w:rFonts w:ascii="Symbol" w:hAnsi="Symbol"/>
        </w:rPr>
        <w:t></w:t>
      </w:r>
      <w:r>
        <w:t>představuje relativní četnost výskytu jednotlivých kategorií vysvětlující proměnné v kategorii vysvětlované proměnné „</w:t>
      </w:r>
      <w:r w:rsidRPr="00F77654">
        <w:rPr>
          <w:i/>
        </w:rPr>
        <w:t>jev nastal</w:t>
      </w:r>
      <w:r>
        <w:t>“.</w:t>
      </w:r>
    </w:p>
    <w:p w:rsidR="00C60A0B" w:rsidRDefault="00C60A0B" w:rsidP="00A707FB">
      <w:r>
        <w:t xml:space="preserve">Pomocí takto definované čtyřpolní tabulky lze stanovit poměr šancí, kde šance představuje podíl </w:t>
      </w:r>
      <w:r w:rsidRPr="00955E34">
        <w:t>relativních če</w:t>
      </w:r>
      <w:r>
        <w:t>t</w:t>
      </w:r>
      <w:r w:rsidRPr="00955E34">
        <w:t xml:space="preserve">ností výskytu </w:t>
      </w:r>
      <w:r>
        <w:t xml:space="preserve">příslušné kategorie vysvětlující proměnné v jednotlivých </w:t>
      </w:r>
      <w:r w:rsidRPr="00955E34">
        <w:t>kategorií</w:t>
      </w:r>
      <w:r>
        <w:t>ch proměnné vysvětlované. Šance a poměr šancí jsou dány následujícím vztahy.</w:t>
      </w:r>
    </w:p>
    <w:p w:rsidR="00C60A0B" w:rsidRDefault="00C60A0B" w:rsidP="00A707FB">
      <w:r>
        <w:t>Jestliže šanci pro kladnou hodnotu vysvětlující proměnné (kategorie 0 – „</w:t>
      </w:r>
      <w:r w:rsidRPr="00287464">
        <w:rPr>
          <w:i/>
        </w:rPr>
        <w:t>jev nenastal</w:t>
      </w:r>
      <w:r>
        <w:t>“) označíme P</w:t>
      </w:r>
      <w:r w:rsidRPr="00033629">
        <w:rPr>
          <w:vertAlign w:val="subscript"/>
        </w:rPr>
        <w:t>0</w:t>
      </w:r>
      <w:r w:rsidRPr="00287464">
        <w:t>,</w:t>
      </w:r>
      <w:r>
        <w:rPr>
          <w:vertAlign w:val="subscript"/>
        </w:rPr>
        <w:t xml:space="preserve"> </w:t>
      </w:r>
      <w:r>
        <w:t>pak</w:t>
      </w:r>
    </w:p>
    <w:tbl>
      <w:tblPr>
        <w:tblW w:w="8505" w:type="dxa"/>
        <w:tblLook w:val="04A0"/>
      </w:tblPr>
      <w:tblGrid>
        <w:gridCol w:w="2821"/>
        <w:gridCol w:w="2852"/>
        <w:gridCol w:w="2832"/>
      </w:tblGrid>
      <w:tr w:rsidR="00C60A0B" w:rsidRPr="00700DEB" w:rsidTr="00C60A0B">
        <w:trPr>
          <w:trHeight w:val="851"/>
        </w:trPr>
        <w:tc>
          <w:tcPr>
            <w:tcW w:w="2910" w:type="dxa"/>
            <w:vAlign w:val="center"/>
          </w:tcPr>
          <w:p w:rsidR="00C60A0B" w:rsidRPr="00700DEB" w:rsidRDefault="00C60A0B" w:rsidP="00A707FB"/>
        </w:tc>
        <w:tc>
          <w:tcPr>
            <w:tcW w:w="2910" w:type="dxa"/>
            <w:vAlign w:val="center"/>
          </w:tcPr>
          <w:p w:rsidR="00C60A0B" w:rsidRPr="00700DEB" w:rsidRDefault="00C60A0B" w:rsidP="00A707FB">
            <m:oMathPara>
              <m:oMath>
                <m:r>
                  <m:rPr>
                    <m:sty m:val="p"/>
                  </m:rPr>
                  <w:rPr>
                    <w:rFonts w:ascii="Cambria Math" w:eastAsiaTheme="minorEastAsia" w:hAnsi="Cambria Math"/>
                  </w:rPr>
                  <m:t xml:space="preserve"> </m:t>
                </m:r>
                <m:r>
                  <w:rPr>
                    <w:rFonts w:ascii="Cambria Math" w:eastAsiaTheme="minorEastAsia"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0</m:t>
                    </m:r>
                  </m:sub>
                </m:sSub>
                <m:r>
                  <m:rPr>
                    <m:sty m:val="p"/>
                  </m:rPr>
                  <w:rPr>
                    <w:rFonts w:ascii="Cambria Math" w:eastAsiaTheme="minorEastAsia" w:hAnsi="Cambria Math"/>
                  </w:rPr>
                  <m:t>=</m:t>
                </m:r>
                <m:f>
                  <m:fPr>
                    <m:ctrlPr>
                      <w:rPr>
                        <w:rFonts w:ascii="Cambria Math" w:eastAsiaTheme="minorEastAsia" w:hAnsi="Cambria Math"/>
                      </w:rPr>
                    </m:ctrlPr>
                  </m:fPr>
                  <m:num>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0</m:t>
                        </m:r>
                      </m:sub>
                    </m:sSub>
                  </m:num>
                  <m:den>
                    <m:r>
                      <m:rPr>
                        <m:sty m:val="p"/>
                      </m:rPr>
                      <w:rPr>
                        <w:rFonts w:ascii="Cambria Math" w:eastAsiaTheme="minorEastAsia" w:hAnsi="Cambria Math"/>
                      </w:rPr>
                      <m:t>1-</m:t>
                    </m:r>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0</m:t>
                        </m:r>
                      </m:sub>
                    </m:sSub>
                  </m:den>
                </m:f>
              </m:oMath>
            </m:oMathPara>
          </w:p>
        </w:tc>
        <w:tc>
          <w:tcPr>
            <w:tcW w:w="2911" w:type="dxa"/>
            <w:vAlign w:val="center"/>
          </w:tcPr>
          <w:p w:rsidR="00C60A0B" w:rsidRPr="00700DEB" w:rsidRDefault="00C60A0B" w:rsidP="00A707FB">
            <w:r w:rsidRPr="00700DEB">
              <w:t>(</w:t>
            </w:r>
            <w:r w:rsidR="00163A91">
              <w:rPr>
                <w:noProof/>
              </w:rPr>
              <w:fldChar w:fldCharType="begin"/>
            </w:r>
            <w:r>
              <w:rPr>
                <w:rFonts w:eastAsia="MS Mincho"/>
                <w:noProof/>
              </w:rPr>
              <w:instrText xml:space="preserve"> SEQ Rovnice \* ARABIC </w:instrText>
            </w:r>
            <w:r w:rsidR="00163A91">
              <w:rPr>
                <w:noProof/>
              </w:rPr>
              <w:fldChar w:fldCharType="separate"/>
            </w:r>
            <w:r>
              <w:rPr>
                <w:noProof/>
              </w:rPr>
              <w:t>1</w:t>
            </w:r>
            <w:r w:rsidR="00163A91">
              <w:rPr>
                <w:noProof/>
              </w:rPr>
              <w:fldChar w:fldCharType="end"/>
            </w:r>
            <w:r w:rsidRPr="00700DEB">
              <w:t>)</w:t>
            </w:r>
          </w:p>
        </w:tc>
      </w:tr>
    </w:tbl>
    <w:p w:rsidR="00C60A0B" w:rsidRDefault="00C60A0B" w:rsidP="00A707FB">
      <w:r w:rsidRPr="00033629">
        <w:t>Jestliže šanc</w:t>
      </w:r>
      <w:r>
        <w:t>i</w:t>
      </w:r>
      <w:r w:rsidRPr="00033629">
        <w:t xml:space="preserve"> pro zápornou hodnotu vysvětlující proměnné</w:t>
      </w:r>
      <w:r>
        <w:t xml:space="preserve"> (kategorie 1 – „</w:t>
      </w:r>
      <w:r w:rsidRPr="00287464">
        <w:rPr>
          <w:i/>
        </w:rPr>
        <w:t>jev nastal</w:t>
      </w:r>
      <w:r>
        <w:t>“) označíme P</w:t>
      </w:r>
      <w:r>
        <w:rPr>
          <w:vertAlign w:val="subscript"/>
        </w:rPr>
        <w:t>1</w:t>
      </w:r>
      <w:r w:rsidRPr="00287464">
        <w:t>,</w:t>
      </w:r>
      <w:r>
        <w:rPr>
          <w:vertAlign w:val="subscript"/>
        </w:rPr>
        <w:t xml:space="preserve"> </w:t>
      </w:r>
      <w:r>
        <w:t>pak</w:t>
      </w:r>
    </w:p>
    <w:tbl>
      <w:tblPr>
        <w:tblW w:w="8505" w:type="dxa"/>
        <w:tblLook w:val="04A0"/>
      </w:tblPr>
      <w:tblGrid>
        <w:gridCol w:w="2827"/>
        <w:gridCol w:w="2845"/>
        <w:gridCol w:w="2833"/>
      </w:tblGrid>
      <w:tr w:rsidR="00C60A0B" w:rsidTr="00C60A0B">
        <w:trPr>
          <w:trHeight w:val="851"/>
        </w:trPr>
        <w:tc>
          <w:tcPr>
            <w:tcW w:w="2881" w:type="dxa"/>
            <w:vAlign w:val="center"/>
          </w:tcPr>
          <w:p w:rsidR="00C60A0B" w:rsidRDefault="00C60A0B" w:rsidP="00A707FB"/>
        </w:tc>
        <w:tc>
          <w:tcPr>
            <w:tcW w:w="2881" w:type="dxa"/>
            <w:vAlign w:val="center"/>
          </w:tcPr>
          <w:p w:rsidR="00C60A0B" w:rsidRPr="00BF5339" w:rsidRDefault="00163A91" w:rsidP="00A707FB">
            <w:pPr>
              <w:rPr>
                <w:i/>
              </w:rPr>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eastAsiaTheme="minorEastAsia" w:hAnsi="Cambria Math"/>
                  </w:rPr>
                  <m:t>=</m:t>
                </m:r>
                <m:f>
                  <m:fPr>
                    <m:ctrlPr>
                      <w:rPr>
                        <w:rFonts w:ascii="Cambria Math" w:eastAsiaTheme="minorEastAsia" w:hAnsi="Cambria Math"/>
                      </w:rPr>
                    </m:ctrlPr>
                  </m:fPr>
                  <m:num>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1</m:t>
                        </m:r>
                      </m:sub>
                    </m:sSub>
                  </m:num>
                  <m:den>
                    <m:r>
                      <m:rPr>
                        <m:sty m:val="p"/>
                      </m:rPr>
                      <w:rPr>
                        <w:rFonts w:ascii="Cambria Math" w:eastAsiaTheme="minorEastAsia" w:hAnsi="Cambria Math"/>
                      </w:rPr>
                      <m:t>1-</m:t>
                    </m:r>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1</m:t>
                        </m:r>
                      </m:sub>
                    </m:sSub>
                  </m:den>
                </m:f>
              </m:oMath>
            </m:oMathPara>
          </w:p>
        </w:tc>
        <w:tc>
          <w:tcPr>
            <w:tcW w:w="2882" w:type="dxa"/>
            <w:vAlign w:val="center"/>
          </w:tcPr>
          <w:p w:rsidR="00C60A0B" w:rsidRDefault="00C60A0B" w:rsidP="00A707FB">
            <w:r>
              <w:t>(</w:t>
            </w:r>
            <w:r w:rsidR="00163A91">
              <w:rPr>
                <w:noProof/>
              </w:rPr>
              <w:fldChar w:fldCharType="begin"/>
            </w:r>
            <w:r>
              <w:rPr>
                <w:rFonts w:eastAsia="MS Mincho"/>
                <w:noProof/>
              </w:rPr>
              <w:instrText xml:space="preserve"> SEQ Rovnice \* ARABIC </w:instrText>
            </w:r>
            <w:r w:rsidR="00163A91">
              <w:rPr>
                <w:noProof/>
              </w:rPr>
              <w:fldChar w:fldCharType="separate"/>
            </w:r>
            <w:r>
              <w:rPr>
                <w:noProof/>
              </w:rPr>
              <w:t>2</w:t>
            </w:r>
            <w:r w:rsidR="00163A91">
              <w:rPr>
                <w:noProof/>
              </w:rPr>
              <w:fldChar w:fldCharType="end"/>
            </w:r>
            <w:r>
              <w:t>)</w:t>
            </w:r>
          </w:p>
        </w:tc>
      </w:tr>
    </w:tbl>
    <w:p w:rsidR="00C60A0B" w:rsidRDefault="00C60A0B" w:rsidP="00A707FB">
      <w:r>
        <w:t>Poměr šancí (OR) je pak dán následujícím vtahem</w:t>
      </w:r>
    </w:p>
    <w:tbl>
      <w:tblPr>
        <w:tblW w:w="8505" w:type="dxa"/>
        <w:tblLook w:val="04A0"/>
      </w:tblPr>
      <w:tblGrid>
        <w:gridCol w:w="2825"/>
        <w:gridCol w:w="2848"/>
        <w:gridCol w:w="2832"/>
      </w:tblGrid>
      <w:tr w:rsidR="00C60A0B" w:rsidTr="00C60A0B">
        <w:trPr>
          <w:trHeight w:val="1701"/>
        </w:trPr>
        <w:tc>
          <w:tcPr>
            <w:tcW w:w="2888" w:type="dxa"/>
            <w:vAlign w:val="center"/>
          </w:tcPr>
          <w:p w:rsidR="00C60A0B" w:rsidRDefault="00C60A0B" w:rsidP="00A707FB"/>
        </w:tc>
        <w:tc>
          <w:tcPr>
            <w:tcW w:w="2888" w:type="dxa"/>
            <w:vAlign w:val="center"/>
          </w:tcPr>
          <w:p w:rsidR="00C60A0B" w:rsidRPr="00BF5339" w:rsidRDefault="00C60A0B" w:rsidP="00A707FB">
            <w:pPr>
              <w:rPr>
                <w:i/>
              </w:rPr>
            </w:pPr>
            <m:oMathPara>
              <m:oMath>
                <m:r>
                  <w:rPr>
                    <w:rFonts w:ascii="Cambria Math" w:eastAsiaTheme="minorEastAsia" w:hAnsi="Cambria Math"/>
                  </w:rPr>
                  <m:t>OR=</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P</m:t>
                        </m:r>
                      </m:e>
                      <m:sub>
                        <m:r>
                          <w:rPr>
                            <w:rFonts w:ascii="Cambria Math" w:hAnsi="Cambria Math"/>
                          </w:rPr>
                          <m:t>0</m:t>
                        </m:r>
                      </m:sub>
                    </m:sSub>
                  </m:den>
                </m:f>
                <m:r>
                  <w:rPr>
                    <w:rFonts w:ascii="Cambria Math" w:eastAsiaTheme="minorEastAsia" w:hAnsi="Cambria Math"/>
                  </w:rPr>
                  <m:t>=</m:t>
                </m:r>
                <m:f>
                  <m:fPr>
                    <m:ctrlPr>
                      <w:rPr>
                        <w:rFonts w:ascii="Cambria Math" w:eastAsiaTheme="minorEastAsia" w:hAnsi="Cambria Math"/>
                      </w:rPr>
                    </m:ctrlPr>
                  </m:fPr>
                  <m:num>
                    <m:f>
                      <m:fPr>
                        <m:ctrlPr>
                          <w:rPr>
                            <w:rFonts w:ascii="Cambria Math" w:eastAsiaTheme="minorEastAsia" w:hAnsi="Cambria Math"/>
                          </w:rPr>
                        </m:ctrlPr>
                      </m:fPr>
                      <m:num>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1</m:t>
                            </m:r>
                          </m:sub>
                        </m:sSub>
                      </m:num>
                      <m:den>
                        <m:r>
                          <m:rPr>
                            <m:sty m:val="p"/>
                          </m:rPr>
                          <w:rPr>
                            <w:rFonts w:ascii="Cambria Math" w:eastAsiaTheme="minorEastAsia" w:hAnsi="Cambria Math"/>
                          </w:rPr>
                          <m:t>1-</m:t>
                        </m:r>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1</m:t>
                            </m:r>
                          </m:sub>
                        </m:sSub>
                      </m:den>
                    </m:f>
                  </m:num>
                  <m:den>
                    <m:f>
                      <m:fPr>
                        <m:ctrlPr>
                          <w:rPr>
                            <w:rFonts w:ascii="Cambria Math" w:eastAsiaTheme="minorEastAsia" w:hAnsi="Cambria Math"/>
                          </w:rPr>
                        </m:ctrlPr>
                      </m:fPr>
                      <m:num>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0</m:t>
                            </m:r>
                          </m:sub>
                        </m:sSub>
                      </m:num>
                      <m:den>
                        <m:r>
                          <m:rPr>
                            <m:sty m:val="p"/>
                          </m:rPr>
                          <w:rPr>
                            <w:rFonts w:ascii="Cambria Math" w:eastAsiaTheme="minorEastAsia" w:hAnsi="Cambria Math"/>
                          </w:rPr>
                          <m:t>1-</m:t>
                        </m:r>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0</m:t>
                            </m:r>
                          </m:sub>
                        </m:sSub>
                      </m:den>
                    </m:f>
                  </m:den>
                </m:f>
              </m:oMath>
            </m:oMathPara>
          </w:p>
        </w:tc>
        <w:tc>
          <w:tcPr>
            <w:tcW w:w="2889" w:type="dxa"/>
            <w:vAlign w:val="center"/>
          </w:tcPr>
          <w:p w:rsidR="00C60A0B" w:rsidRDefault="00C60A0B" w:rsidP="00A707FB">
            <w:r>
              <w:t>(</w:t>
            </w:r>
            <w:r w:rsidR="00163A91">
              <w:rPr>
                <w:noProof/>
              </w:rPr>
              <w:fldChar w:fldCharType="begin"/>
            </w:r>
            <w:r>
              <w:rPr>
                <w:rFonts w:eastAsia="MS Mincho"/>
                <w:noProof/>
              </w:rPr>
              <w:instrText xml:space="preserve"> SEQ Rovnice \* ARABIC </w:instrText>
            </w:r>
            <w:r w:rsidR="00163A91">
              <w:rPr>
                <w:noProof/>
              </w:rPr>
              <w:fldChar w:fldCharType="separate"/>
            </w:r>
            <w:r>
              <w:rPr>
                <w:noProof/>
              </w:rPr>
              <w:t>3</w:t>
            </w:r>
            <w:r w:rsidR="00163A91">
              <w:rPr>
                <w:noProof/>
              </w:rPr>
              <w:fldChar w:fldCharType="end"/>
            </w:r>
            <w:r>
              <w:t>)</w:t>
            </w:r>
          </w:p>
        </w:tc>
      </w:tr>
    </w:tbl>
    <w:p w:rsidR="00C60A0B" w:rsidRDefault="00C60A0B" w:rsidP="00A707FB">
      <w:r w:rsidRPr="00B726F9">
        <w:t>Poměr šancí vyjadřuje, kolikrát se zvýší (resp. sníží) šance nastoupení změny hodnoty vysvětlované proměnné při změně hodnoty proměnné vysvětlující</w:t>
      </w:r>
      <w:r>
        <w:t>.</w:t>
      </w:r>
    </w:p>
    <w:p w:rsidR="00C60A0B" w:rsidRDefault="00C60A0B" w:rsidP="00A707FB">
      <w:r>
        <w:t xml:space="preserve">Jinou cestu stanovení poměru šancí je </w:t>
      </w:r>
      <w:r w:rsidRPr="00297962">
        <w:t>podíl relativních rizik</w:t>
      </w:r>
      <w:r>
        <w:t xml:space="preserve">. V tabulce řádkových relativních četností je vyjádřena relativní četnost výskytu kategorií vysvětlující proměnné v každé kategorii proměnné vysvětlované. Relativní riziko je pak vyjádřeno podílem relativních četností výskytu kategorií vysvětlující proměnné v každé kategorii proměnné vysvětlované. Relativní riziko tak představuje </w:t>
      </w:r>
      <w:r w:rsidRPr="005A3562">
        <w:t>podíl relativní če</w:t>
      </w:r>
      <w:r>
        <w:t>t</w:t>
      </w:r>
      <w:r w:rsidRPr="005A3562">
        <w:t>no</w:t>
      </w:r>
      <w:r>
        <w:t>s</w:t>
      </w:r>
      <w:r w:rsidRPr="005A3562">
        <w:t>ti</w:t>
      </w:r>
      <w:r>
        <w:t xml:space="preserve"> </w:t>
      </w:r>
      <w:r w:rsidRPr="005A3562">
        <w:t>výskytu jednotlivých kategorií vysvětlující proměnné na kategoriích vysvětlované proměnné</w:t>
      </w:r>
      <w:r>
        <w:t>.</w:t>
      </w:r>
    </w:p>
    <w:p w:rsidR="00C60A0B" w:rsidRDefault="00C60A0B" w:rsidP="00A707FB">
      <w:r>
        <w:t>Jestliže relativní riziko pro kladnou hodnotu vysvětlované proměnné (kategorie 0 – „</w:t>
      </w:r>
      <w:r w:rsidRPr="00287464">
        <w:rPr>
          <w:i/>
        </w:rPr>
        <w:t>jev nenastal</w:t>
      </w:r>
      <w:r>
        <w:t>“) označíme R</w:t>
      </w:r>
      <w:r>
        <w:rPr>
          <w:vertAlign w:val="subscript"/>
        </w:rPr>
        <w:t>0</w:t>
      </w:r>
      <w:r w:rsidRPr="00287464">
        <w:t>,</w:t>
      </w:r>
      <w:r>
        <w:rPr>
          <w:vertAlign w:val="subscript"/>
        </w:rPr>
        <w:t xml:space="preserve"> </w:t>
      </w:r>
      <w:r>
        <w:t>pak</w:t>
      </w:r>
    </w:p>
    <w:tbl>
      <w:tblPr>
        <w:tblW w:w="8505" w:type="dxa"/>
        <w:tblLook w:val="04A0"/>
      </w:tblPr>
      <w:tblGrid>
        <w:gridCol w:w="2829"/>
        <w:gridCol w:w="2842"/>
        <w:gridCol w:w="2834"/>
      </w:tblGrid>
      <w:tr w:rsidR="00C60A0B" w:rsidTr="00C60A0B">
        <w:trPr>
          <w:trHeight w:val="851"/>
        </w:trPr>
        <w:tc>
          <w:tcPr>
            <w:tcW w:w="2868" w:type="dxa"/>
            <w:vAlign w:val="center"/>
          </w:tcPr>
          <w:p w:rsidR="00C60A0B" w:rsidRDefault="00C60A0B" w:rsidP="00A707FB">
            <w:pPr>
              <w:rPr>
                <w:rFonts w:eastAsiaTheme="minorEastAsia"/>
              </w:rPr>
            </w:pPr>
          </w:p>
        </w:tc>
        <w:tc>
          <w:tcPr>
            <w:tcW w:w="2868" w:type="dxa"/>
            <w:vAlign w:val="center"/>
          </w:tcPr>
          <w:p w:rsidR="00C60A0B" w:rsidRPr="00BF5339" w:rsidRDefault="00163A91" w:rsidP="00A707FB">
            <w:pPr>
              <w:rPr>
                <w:rFonts w:eastAsiaTheme="minorEastAsia"/>
                <w:i/>
              </w:rPr>
            </w:pPr>
            <m:oMathPara>
              <m:oMath>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0</m:t>
                        </m:r>
                      </m:sub>
                    </m:sSub>
                  </m:num>
                  <m:den>
                    <m:r>
                      <m:rPr>
                        <m:sty m:val="p"/>
                      </m:rPr>
                      <w:rPr>
                        <w:rFonts w:ascii="Cambria Math" w:eastAsiaTheme="minorEastAsia" w:hAnsi="Cambria Math"/>
                      </w:rPr>
                      <m:t>1-</m:t>
                    </m:r>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1</m:t>
                        </m:r>
                      </m:sub>
                    </m:sSub>
                  </m:den>
                </m:f>
              </m:oMath>
            </m:oMathPara>
          </w:p>
        </w:tc>
        <w:tc>
          <w:tcPr>
            <w:tcW w:w="2869" w:type="dxa"/>
            <w:vAlign w:val="center"/>
          </w:tcPr>
          <w:p w:rsidR="00C60A0B" w:rsidRDefault="00C60A0B" w:rsidP="00A707FB">
            <w:pPr>
              <w:rPr>
                <w:rFonts w:eastAsiaTheme="minorEastAsia"/>
              </w:rPr>
            </w:pPr>
            <w:r>
              <w:rPr>
                <w:rFonts w:eastAsiaTheme="minorEastAsia"/>
              </w:rPr>
              <w:t>(</w:t>
            </w:r>
            <w:r w:rsidR="00163A91">
              <w:rPr>
                <w:noProof/>
              </w:rPr>
              <w:fldChar w:fldCharType="begin"/>
            </w:r>
            <w:r>
              <w:rPr>
                <w:rFonts w:eastAsia="MS Mincho"/>
                <w:noProof/>
              </w:rPr>
              <w:instrText xml:space="preserve"> SEQ Rovnice \* ARABIC </w:instrText>
            </w:r>
            <w:r w:rsidR="00163A91">
              <w:rPr>
                <w:noProof/>
              </w:rPr>
              <w:fldChar w:fldCharType="separate"/>
            </w:r>
            <w:r>
              <w:rPr>
                <w:noProof/>
              </w:rPr>
              <w:t>4</w:t>
            </w:r>
            <w:r w:rsidR="00163A91">
              <w:rPr>
                <w:noProof/>
              </w:rPr>
              <w:fldChar w:fldCharType="end"/>
            </w:r>
            <w:r>
              <w:t>)</w:t>
            </w:r>
          </w:p>
        </w:tc>
      </w:tr>
    </w:tbl>
    <w:p w:rsidR="00C60A0B" w:rsidRDefault="00C60A0B" w:rsidP="00A707FB">
      <w:r>
        <w:t>Jestliže relativní riziko pro zápornou hodnotu vysvětlované proměnné (kategorie 1 – „</w:t>
      </w:r>
      <w:r w:rsidRPr="00287464">
        <w:rPr>
          <w:i/>
        </w:rPr>
        <w:t>jev nastal</w:t>
      </w:r>
      <w:r>
        <w:t>“) označíme R</w:t>
      </w:r>
      <w:r>
        <w:rPr>
          <w:vertAlign w:val="subscript"/>
        </w:rPr>
        <w:t>1</w:t>
      </w:r>
      <w:r w:rsidRPr="00287464">
        <w:t>,</w:t>
      </w:r>
      <w:r>
        <w:rPr>
          <w:vertAlign w:val="subscript"/>
        </w:rPr>
        <w:t xml:space="preserve"> </w:t>
      </w:r>
      <w:r>
        <w:t>pak</w:t>
      </w:r>
    </w:p>
    <w:tbl>
      <w:tblPr>
        <w:tblW w:w="8505" w:type="dxa"/>
        <w:tblLook w:val="04A0"/>
      </w:tblPr>
      <w:tblGrid>
        <w:gridCol w:w="2830"/>
        <w:gridCol w:w="2839"/>
        <w:gridCol w:w="2836"/>
      </w:tblGrid>
      <w:tr w:rsidR="00C60A0B" w:rsidRPr="003C6A04" w:rsidTr="00C60A0B">
        <w:trPr>
          <w:trHeight w:val="851"/>
        </w:trPr>
        <w:tc>
          <w:tcPr>
            <w:tcW w:w="2881" w:type="dxa"/>
            <w:vAlign w:val="center"/>
          </w:tcPr>
          <w:p w:rsidR="00C60A0B" w:rsidRPr="003C6A04" w:rsidRDefault="00C60A0B" w:rsidP="00A707FB"/>
        </w:tc>
        <w:tc>
          <w:tcPr>
            <w:tcW w:w="2881" w:type="dxa"/>
            <w:vAlign w:val="center"/>
          </w:tcPr>
          <w:p w:rsidR="00C60A0B" w:rsidRPr="00BF5339" w:rsidRDefault="00163A91" w:rsidP="00A707FB">
            <w:pPr>
              <w:rPr>
                <w:i/>
              </w:rPr>
            </w:pPr>
            <m:oMathPara>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eastAsiaTheme="minorEastAsia" w:hAnsi="Cambria Math"/>
                  </w:rPr>
                  <m:t>=</m:t>
                </m:r>
                <m:f>
                  <m:fPr>
                    <m:ctrlPr>
                      <w:rPr>
                        <w:rFonts w:ascii="Cambria Math" w:eastAsiaTheme="minorEastAsia" w:hAnsi="Cambria Math"/>
                      </w:rPr>
                    </m:ctrlPr>
                  </m:fPr>
                  <m:num>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0</m:t>
                        </m:r>
                      </m:sub>
                    </m:sSub>
                  </m:num>
                  <m:den>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1</m:t>
                        </m:r>
                      </m:sub>
                    </m:sSub>
                  </m:den>
                </m:f>
              </m:oMath>
            </m:oMathPara>
          </w:p>
        </w:tc>
        <w:tc>
          <w:tcPr>
            <w:tcW w:w="2882" w:type="dxa"/>
            <w:vAlign w:val="center"/>
          </w:tcPr>
          <w:p w:rsidR="00C60A0B" w:rsidRPr="0071667F" w:rsidRDefault="00C60A0B" w:rsidP="00A707FB">
            <w:r w:rsidRPr="003C6A04">
              <w:t>(</w:t>
            </w:r>
            <w:r w:rsidR="00163A91">
              <w:rPr>
                <w:noProof/>
              </w:rPr>
              <w:fldChar w:fldCharType="begin"/>
            </w:r>
            <w:r w:rsidR="00740020">
              <w:rPr>
                <w:noProof/>
              </w:rPr>
              <w:instrText xml:space="preserve"> SEQ Rovnice \* ARABIC </w:instrText>
            </w:r>
            <w:r w:rsidR="00163A91">
              <w:rPr>
                <w:noProof/>
              </w:rPr>
              <w:fldChar w:fldCharType="separate"/>
            </w:r>
            <w:r>
              <w:rPr>
                <w:noProof/>
              </w:rPr>
              <w:t>5</w:t>
            </w:r>
            <w:r w:rsidR="00163A91">
              <w:rPr>
                <w:noProof/>
              </w:rPr>
              <w:fldChar w:fldCharType="end"/>
            </w:r>
            <w:r w:rsidRPr="003C6A04">
              <w:t>)</w:t>
            </w:r>
          </w:p>
        </w:tc>
      </w:tr>
    </w:tbl>
    <w:p w:rsidR="00C60A0B" w:rsidRDefault="00C60A0B" w:rsidP="00A707FB">
      <w:pPr>
        <w:rPr>
          <w:szCs w:val="24"/>
        </w:rPr>
      </w:pPr>
    </w:p>
    <w:p w:rsidR="00C60A0B" w:rsidRDefault="00C60A0B" w:rsidP="00A707FB">
      <w:pPr>
        <w:rPr>
          <w:szCs w:val="24"/>
        </w:rPr>
      </w:pPr>
      <w:r>
        <w:rPr>
          <w:szCs w:val="24"/>
        </w:rPr>
        <w:t>Poměr šancí je pak dán vztahem</w:t>
      </w:r>
    </w:p>
    <w:tbl>
      <w:tblPr>
        <w:tblW w:w="8505" w:type="dxa"/>
        <w:tblLook w:val="04A0"/>
      </w:tblPr>
      <w:tblGrid>
        <w:gridCol w:w="2820"/>
        <w:gridCol w:w="2854"/>
        <w:gridCol w:w="2831"/>
      </w:tblGrid>
      <w:tr w:rsidR="00C60A0B" w:rsidTr="00C60A0B">
        <w:trPr>
          <w:trHeight w:val="1701"/>
        </w:trPr>
        <w:tc>
          <w:tcPr>
            <w:tcW w:w="2913" w:type="dxa"/>
            <w:vAlign w:val="center"/>
          </w:tcPr>
          <w:p w:rsidR="00C60A0B" w:rsidRDefault="00C60A0B" w:rsidP="00A707FB"/>
        </w:tc>
        <w:tc>
          <w:tcPr>
            <w:tcW w:w="2913" w:type="dxa"/>
            <w:vAlign w:val="center"/>
          </w:tcPr>
          <w:p w:rsidR="00C60A0B" w:rsidRPr="00BF5339" w:rsidRDefault="00C60A0B" w:rsidP="00A707FB">
            <w:pPr>
              <w:rPr>
                <w:i/>
              </w:rPr>
            </w:pPr>
            <m:oMathPara>
              <m:oMath>
                <m:r>
                  <w:rPr>
                    <w:rFonts w:ascii="Cambria Math" w:eastAsiaTheme="minorEastAsia" w:hAnsi="Cambria Math"/>
                  </w:rPr>
                  <m:t xml:space="preserve">OR= </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0</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den>
                </m:f>
                <m:r>
                  <w:rPr>
                    <w:rFonts w:ascii="Cambria Math" w:eastAsiaTheme="minorEastAsia" w:hAnsi="Cambria Math"/>
                  </w:rPr>
                  <m:t>=</m:t>
                </m:r>
                <m:f>
                  <m:fPr>
                    <m:ctrlPr>
                      <w:rPr>
                        <w:rFonts w:ascii="Cambria Math" w:eastAsiaTheme="minorEastAsia" w:hAnsi="Cambria Math"/>
                      </w:rPr>
                    </m:ctrlPr>
                  </m:fPr>
                  <m:num>
                    <m:f>
                      <m:fPr>
                        <m:ctrlPr>
                          <w:rPr>
                            <w:rFonts w:ascii="Cambria Math" w:eastAsiaTheme="minorEastAsia" w:hAnsi="Cambria Math"/>
                          </w:rPr>
                        </m:ctrlPr>
                      </m:fPr>
                      <m:num>
                        <m:r>
                          <m:rPr>
                            <m:sty m:val="p"/>
                          </m:rPr>
                          <w:rPr>
                            <w:rFonts w:ascii="Cambria Math" w:eastAsiaTheme="minorEastAsia" w:hAnsi="Cambria Math"/>
                          </w:rPr>
                          <m:t>1-</m:t>
                        </m:r>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0</m:t>
                            </m:r>
                          </m:sub>
                        </m:sSub>
                      </m:num>
                      <m:den>
                        <m:r>
                          <m:rPr>
                            <m:sty m:val="p"/>
                          </m:rPr>
                          <w:rPr>
                            <w:rFonts w:ascii="Cambria Math" w:eastAsiaTheme="minorEastAsia" w:hAnsi="Cambria Math"/>
                          </w:rPr>
                          <m:t>1-</m:t>
                        </m:r>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1</m:t>
                            </m:r>
                          </m:sub>
                        </m:sSub>
                      </m:den>
                    </m:f>
                  </m:num>
                  <m:den>
                    <m:f>
                      <m:fPr>
                        <m:ctrlPr>
                          <w:rPr>
                            <w:rFonts w:ascii="Cambria Math" w:eastAsiaTheme="minorEastAsia" w:hAnsi="Cambria Math"/>
                          </w:rPr>
                        </m:ctrlPr>
                      </m:fPr>
                      <m:num>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0</m:t>
                            </m:r>
                          </m:sub>
                        </m:sSub>
                      </m:num>
                      <m:den>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1</m:t>
                            </m:r>
                          </m:sub>
                        </m:sSub>
                      </m:den>
                    </m:f>
                  </m:den>
                </m:f>
              </m:oMath>
            </m:oMathPara>
          </w:p>
        </w:tc>
        <w:tc>
          <w:tcPr>
            <w:tcW w:w="2914" w:type="dxa"/>
            <w:vAlign w:val="center"/>
          </w:tcPr>
          <w:p w:rsidR="00C60A0B" w:rsidRDefault="00C60A0B" w:rsidP="00A707FB">
            <w:r>
              <w:t>(</w:t>
            </w:r>
            <w:r w:rsidR="00163A91">
              <w:rPr>
                <w:noProof/>
              </w:rPr>
              <w:fldChar w:fldCharType="begin"/>
            </w:r>
            <w:r>
              <w:rPr>
                <w:rFonts w:eastAsia="MS Mincho"/>
                <w:noProof/>
              </w:rPr>
              <w:instrText xml:space="preserve"> SEQ Rovnice \* ARABIC </w:instrText>
            </w:r>
            <w:r w:rsidR="00163A91">
              <w:rPr>
                <w:noProof/>
              </w:rPr>
              <w:fldChar w:fldCharType="separate"/>
            </w:r>
            <w:r>
              <w:rPr>
                <w:noProof/>
              </w:rPr>
              <w:t>6</w:t>
            </w:r>
            <w:r w:rsidR="00163A91">
              <w:rPr>
                <w:noProof/>
              </w:rPr>
              <w:fldChar w:fldCharType="end"/>
            </w:r>
            <w:r>
              <w:t>)</w:t>
            </w:r>
          </w:p>
        </w:tc>
      </w:tr>
    </w:tbl>
    <w:p w:rsidR="00C60A0B" w:rsidRDefault="00C60A0B" w:rsidP="00A707FB">
      <w:r>
        <w:t>Vzájemný vztah šance a relativního rizika při stanovení poměru šancí lze vyjádřit následovně:</w:t>
      </w:r>
    </w:p>
    <w:tbl>
      <w:tblPr>
        <w:tblW w:w="8505" w:type="dxa"/>
        <w:tblLook w:val="04A0"/>
      </w:tblPr>
      <w:tblGrid>
        <w:gridCol w:w="2331"/>
        <w:gridCol w:w="3912"/>
        <w:gridCol w:w="2262"/>
      </w:tblGrid>
      <w:tr w:rsidR="00C60A0B" w:rsidTr="00C60A0B">
        <w:trPr>
          <w:trHeight w:val="1701"/>
        </w:trPr>
        <w:tc>
          <w:tcPr>
            <w:tcW w:w="2376" w:type="dxa"/>
            <w:vAlign w:val="center"/>
          </w:tcPr>
          <w:p w:rsidR="00C60A0B" w:rsidRDefault="00C60A0B" w:rsidP="00A707FB"/>
        </w:tc>
        <w:tc>
          <w:tcPr>
            <w:tcW w:w="3969" w:type="dxa"/>
            <w:vAlign w:val="center"/>
          </w:tcPr>
          <w:p w:rsidR="00C60A0B" w:rsidRPr="00BF5339" w:rsidRDefault="00C60A0B" w:rsidP="00A707FB">
            <w:pPr>
              <w:rPr>
                <w:i/>
              </w:rPr>
            </w:pPr>
            <m:oMathPara>
              <m:oMath>
                <m:r>
                  <w:rPr>
                    <w:rFonts w:ascii="Cambria Math" w:eastAsiaTheme="minorEastAsia" w:hAnsi="Cambria Math"/>
                  </w:rPr>
                  <m:t>OR=</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P</m:t>
                        </m:r>
                      </m:e>
                      <m:sub>
                        <m:r>
                          <w:rPr>
                            <w:rFonts w:ascii="Cambria Math" w:hAnsi="Cambria Math"/>
                          </w:rPr>
                          <m:t>0</m:t>
                        </m:r>
                      </m:sub>
                    </m:sSub>
                  </m:den>
                </m:f>
                <m:r>
                  <w:rPr>
                    <w:rFonts w:ascii="Cambria Math" w:eastAsiaTheme="minorEastAsia" w:hAnsi="Cambria Math"/>
                  </w:rPr>
                  <m:t>=</m:t>
                </m:r>
                <m:f>
                  <m:fPr>
                    <m:ctrlPr>
                      <w:rPr>
                        <w:rFonts w:ascii="Cambria Math" w:eastAsiaTheme="minorEastAsia" w:hAnsi="Cambria Math"/>
                      </w:rPr>
                    </m:ctrlPr>
                  </m:fPr>
                  <m:num>
                    <m:f>
                      <m:fPr>
                        <m:ctrlPr>
                          <w:rPr>
                            <w:rFonts w:ascii="Cambria Math" w:eastAsiaTheme="minorEastAsia" w:hAnsi="Cambria Math"/>
                          </w:rPr>
                        </m:ctrlPr>
                      </m:fPr>
                      <m:num>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1</m:t>
                            </m:r>
                          </m:sub>
                        </m:sSub>
                      </m:num>
                      <m:den>
                        <m:r>
                          <m:rPr>
                            <m:sty m:val="p"/>
                          </m:rPr>
                          <w:rPr>
                            <w:rFonts w:ascii="Cambria Math" w:eastAsiaTheme="minorEastAsia" w:hAnsi="Cambria Math"/>
                          </w:rPr>
                          <m:t>1-</m:t>
                        </m:r>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1</m:t>
                            </m:r>
                          </m:sub>
                        </m:sSub>
                      </m:den>
                    </m:f>
                  </m:num>
                  <m:den>
                    <m:f>
                      <m:fPr>
                        <m:ctrlPr>
                          <w:rPr>
                            <w:rFonts w:ascii="Cambria Math" w:eastAsiaTheme="minorEastAsia" w:hAnsi="Cambria Math"/>
                          </w:rPr>
                        </m:ctrlPr>
                      </m:fPr>
                      <m:num>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0</m:t>
                            </m:r>
                          </m:sub>
                        </m:sSub>
                      </m:num>
                      <m:den>
                        <m:r>
                          <m:rPr>
                            <m:sty m:val="p"/>
                          </m:rPr>
                          <w:rPr>
                            <w:rFonts w:ascii="Cambria Math" w:eastAsiaTheme="minorEastAsia" w:hAnsi="Cambria Math"/>
                          </w:rPr>
                          <m:t>1-</m:t>
                        </m:r>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0</m:t>
                            </m:r>
                          </m:sub>
                        </m:sSub>
                      </m:den>
                    </m:f>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0</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den>
                </m:f>
                <m:r>
                  <w:rPr>
                    <w:rFonts w:ascii="Cambria Math" w:eastAsiaTheme="minorEastAsia" w:hAnsi="Cambria Math"/>
                  </w:rPr>
                  <m:t>=</m:t>
                </m:r>
                <m:f>
                  <m:fPr>
                    <m:ctrlPr>
                      <w:rPr>
                        <w:rFonts w:ascii="Cambria Math" w:eastAsiaTheme="minorEastAsia" w:hAnsi="Cambria Math"/>
                      </w:rPr>
                    </m:ctrlPr>
                  </m:fPr>
                  <m:num>
                    <m:f>
                      <m:fPr>
                        <m:ctrlPr>
                          <w:rPr>
                            <w:rFonts w:ascii="Cambria Math" w:eastAsiaTheme="minorEastAsia" w:hAnsi="Cambria Math"/>
                          </w:rPr>
                        </m:ctrlPr>
                      </m:fPr>
                      <m:num>
                        <m:r>
                          <m:rPr>
                            <m:sty m:val="p"/>
                          </m:rPr>
                          <w:rPr>
                            <w:rFonts w:ascii="Cambria Math" w:eastAsiaTheme="minorEastAsia" w:hAnsi="Cambria Math"/>
                          </w:rPr>
                          <m:t>1-</m:t>
                        </m:r>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0</m:t>
                            </m:r>
                          </m:sub>
                        </m:sSub>
                      </m:num>
                      <m:den>
                        <m:r>
                          <m:rPr>
                            <m:sty m:val="p"/>
                          </m:rPr>
                          <w:rPr>
                            <w:rFonts w:ascii="Cambria Math" w:eastAsiaTheme="minorEastAsia" w:hAnsi="Cambria Math"/>
                          </w:rPr>
                          <m:t>1-</m:t>
                        </m:r>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1</m:t>
                            </m:r>
                          </m:sub>
                        </m:sSub>
                      </m:den>
                    </m:f>
                  </m:num>
                  <m:den>
                    <m:f>
                      <m:fPr>
                        <m:ctrlPr>
                          <w:rPr>
                            <w:rFonts w:ascii="Cambria Math" w:eastAsiaTheme="minorEastAsia" w:hAnsi="Cambria Math"/>
                          </w:rPr>
                        </m:ctrlPr>
                      </m:fPr>
                      <m:num>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0</m:t>
                            </m:r>
                          </m:sub>
                        </m:sSub>
                      </m:num>
                      <m:den>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1</m:t>
                            </m:r>
                          </m:sub>
                        </m:sSub>
                      </m:den>
                    </m:f>
                  </m:den>
                </m:f>
              </m:oMath>
            </m:oMathPara>
          </w:p>
        </w:tc>
        <w:tc>
          <w:tcPr>
            <w:tcW w:w="2299" w:type="dxa"/>
            <w:vAlign w:val="center"/>
          </w:tcPr>
          <w:p w:rsidR="00C60A0B" w:rsidRDefault="00C60A0B" w:rsidP="00A707FB">
            <w:r>
              <w:t>(</w:t>
            </w:r>
            <w:r w:rsidR="00163A91">
              <w:rPr>
                <w:noProof/>
              </w:rPr>
              <w:fldChar w:fldCharType="begin"/>
            </w:r>
            <w:r>
              <w:rPr>
                <w:rFonts w:eastAsia="MS Mincho"/>
                <w:noProof/>
              </w:rPr>
              <w:instrText xml:space="preserve"> SEQ Rovnice \* ARABIC </w:instrText>
            </w:r>
            <w:r w:rsidR="00163A91">
              <w:rPr>
                <w:noProof/>
              </w:rPr>
              <w:fldChar w:fldCharType="separate"/>
            </w:r>
            <w:r>
              <w:rPr>
                <w:noProof/>
              </w:rPr>
              <w:t>7</w:t>
            </w:r>
            <w:r w:rsidR="00163A91">
              <w:rPr>
                <w:noProof/>
              </w:rPr>
              <w:fldChar w:fldCharType="end"/>
            </w:r>
            <w:r>
              <w:t>)</w:t>
            </w:r>
          </w:p>
        </w:tc>
      </w:tr>
    </w:tbl>
    <w:p w:rsidR="00C60A0B" w:rsidRDefault="00C60A0B" w:rsidP="00A707FB">
      <w:r>
        <w:t xml:space="preserve">Kromě čtyřpolní tabulky je možné poměr šancí získat rovněž pomocí logistické regrese.  Jak již bylo uvedeno, uvažujeme-li </w:t>
      </w:r>
      <w:r w:rsidRPr="00567B95">
        <w:rPr>
          <w:b/>
        </w:rPr>
        <w:t>jednu vysvětlující dichotomickou proměnnou</w:t>
      </w:r>
      <w:r>
        <w:t xml:space="preserve">, potom může logistický regresní model vycházet z výše popsaných vztahů pro poměr šancí, neboť jde o situaci odpovídající čtyřpolní tabulce (jedna vysvětlující dichotomická proměnná ve vztahu </w:t>
      </w:r>
      <w:r>
        <w:lastRenderedPageBreak/>
        <w:t xml:space="preserve">k vysvětlované dichotomické proměnné). Pomocí logistické regrese lze získat koeficient </w:t>
      </w:r>
      <w:r>
        <w:rPr>
          <w:rFonts w:ascii="Symbol" w:hAnsi="Symbol"/>
        </w:rPr>
        <w:t></w:t>
      </w:r>
      <w:r w:rsidRPr="00DD6470">
        <w:rPr>
          <w:rFonts w:cs="Times New Roman"/>
          <w:vertAlign w:val="subscript"/>
        </w:rPr>
        <w:t>1</w:t>
      </w:r>
      <w:r w:rsidRPr="00DD6470">
        <w:rPr>
          <w:rFonts w:cs="Times New Roman"/>
        </w:rPr>
        <w:t>,</w:t>
      </w:r>
      <w:r>
        <w:rPr>
          <w:rFonts w:cs="Times New Roman"/>
        </w:rPr>
        <w:t xml:space="preserve"> který představuje přirozený logaritmus poměru šancí, a to buď ze vztahu relativních rizik, pak </w:t>
      </w:r>
    </w:p>
    <w:tbl>
      <w:tblPr>
        <w:tblW w:w="8505" w:type="dxa"/>
        <w:tblLook w:val="04A0"/>
      </w:tblPr>
      <w:tblGrid>
        <w:gridCol w:w="237"/>
        <w:gridCol w:w="7656"/>
        <w:gridCol w:w="612"/>
      </w:tblGrid>
      <w:tr w:rsidR="00C60A0B" w:rsidRPr="0071667F" w:rsidTr="00C60A0B">
        <w:trPr>
          <w:trHeight w:val="851"/>
        </w:trPr>
        <w:tc>
          <w:tcPr>
            <w:tcW w:w="238" w:type="dxa"/>
            <w:vAlign w:val="center"/>
          </w:tcPr>
          <w:p w:rsidR="00C60A0B" w:rsidRPr="0071667F" w:rsidRDefault="00C60A0B" w:rsidP="00A707FB">
            <w:pPr>
              <w:rPr>
                <w:i/>
              </w:rPr>
            </w:pPr>
          </w:p>
        </w:tc>
        <w:tc>
          <w:tcPr>
            <w:tcW w:w="7907" w:type="dxa"/>
            <w:vAlign w:val="center"/>
          </w:tcPr>
          <w:p w:rsidR="00C60A0B" w:rsidRPr="00700DEB" w:rsidRDefault="00C60A0B" w:rsidP="00A707FB">
            <w:r w:rsidRPr="00700DEB">
              <w:rPr>
                <w:rFonts w:ascii="Symbol" w:hAnsi="Symbol"/>
              </w:rPr>
              <w:t></w:t>
            </w:r>
            <w:r w:rsidRPr="00700DEB">
              <w:rPr>
                <w:vertAlign w:val="subscript"/>
              </w:rPr>
              <w:t>1</w:t>
            </w:r>
            <w:r w:rsidRPr="00700DEB">
              <w:t xml:space="preserve"> = </w:t>
            </w:r>
            <m:oMath>
              <m:func>
                <m:funcPr>
                  <m:ctrlPr>
                    <w:rPr>
                      <w:rFonts w:ascii="Cambria Math" w:hAnsi="Cambria Math"/>
                      <w:vertAlign w:val="subscript"/>
                    </w:rPr>
                  </m:ctrlPr>
                </m:funcPr>
                <m:fName>
                  <m:r>
                    <m:rPr>
                      <m:sty m:val="p"/>
                    </m:rPr>
                    <w:rPr>
                      <w:rFonts w:ascii="Cambria Math" w:hAnsi="Cambria Math"/>
                      <w:vertAlign w:val="subscript"/>
                    </w:rPr>
                    <m:t>ln</m:t>
                  </m:r>
                </m:fName>
                <m:e>
                  <m:sSub>
                    <m:sSubPr>
                      <m:ctrlPr>
                        <w:rPr>
                          <w:rFonts w:ascii="Cambria Math" w:hAnsi="Cambria Math"/>
                        </w:rPr>
                      </m:ctrlPr>
                    </m:sSubPr>
                    <m:e>
                      <m:r>
                        <w:rPr>
                          <w:rFonts w:ascii="Cambria Math" w:hAnsi="Cambria Math"/>
                        </w:rPr>
                        <m:t>R</m:t>
                      </m:r>
                    </m:e>
                    <m:sub>
                      <m:r>
                        <m:rPr>
                          <m:sty m:val="p"/>
                        </m:rPr>
                        <w:rPr>
                          <w:rFonts w:ascii="Cambria Math" w:hAnsi="Cambria Math"/>
                        </w:rPr>
                        <m:t>0</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r>
                            <w:rPr>
                              <w:rFonts w:ascii="Cambria Math" w:hAnsi="Cambria Math"/>
                            </w:rPr>
                            <m:t>R</m:t>
                          </m:r>
                        </m:e>
                        <m:sub>
                          <m:r>
                            <m:rPr>
                              <m:sty m:val="p"/>
                            </m:rPr>
                            <w:rPr>
                              <w:rFonts w:ascii="Cambria Math" w:hAnsi="Cambria Math"/>
                            </w:rPr>
                            <m:t>1</m:t>
                          </m:r>
                        </m:sub>
                      </m:sSub>
                    </m:e>
                  </m:func>
                </m:e>
              </m:func>
              <m:r>
                <m:rPr>
                  <m:sty m:val="p"/>
                </m:rPr>
                <w:rPr>
                  <w:rFonts w:ascii="Cambria Math" w:hAnsi="Cambria Math"/>
                </w:rPr>
                <m:t>=</m:t>
              </m:r>
              <m:func>
                <m:funcPr>
                  <m:ctrlPr>
                    <w:rPr>
                      <w:rFonts w:ascii="Cambria Math" w:eastAsiaTheme="minorEastAsia" w:hAnsi="Cambria Math"/>
                    </w:rPr>
                  </m:ctrlPr>
                </m:funcPr>
                <m:fName>
                  <m:r>
                    <m:rPr>
                      <m:sty m:val="p"/>
                    </m:rPr>
                    <w:rPr>
                      <w:rFonts w:ascii="Cambria Math" w:hAnsi="Cambria Math"/>
                      <w:vertAlign w:val="subscript"/>
                    </w:rPr>
                    <m:t xml:space="preserve"> </m:t>
                  </m:r>
                  <m:r>
                    <m:rPr>
                      <m:sty m:val="p"/>
                    </m:rPr>
                    <w:rPr>
                      <w:rFonts w:ascii="Cambria Math" w:hAnsi="Cambria Math"/>
                    </w:rPr>
                    <m:t>ln</m:t>
                  </m:r>
                </m:fName>
                <m:e>
                  <m:f>
                    <m:fPr>
                      <m:ctrlPr>
                        <w:rPr>
                          <w:rFonts w:ascii="Cambria Math" w:eastAsiaTheme="minorEastAsia" w:hAnsi="Cambria Math"/>
                        </w:rPr>
                      </m:ctrlPr>
                    </m:fPr>
                    <m:num>
                      <m:r>
                        <m:rPr>
                          <m:sty m:val="p"/>
                        </m:rPr>
                        <w:rPr>
                          <w:rFonts w:ascii="Cambria Math" w:eastAsiaTheme="minorEastAsia" w:hAnsi="Cambria Math"/>
                        </w:rPr>
                        <m:t>1-</m:t>
                      </m:r>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0</m:t>
                          </m:r>
                        </m:sub>
                      </m:sSub>
                    </m:num>
                    <m:den>
                      <m:r>
                        <m:rPr>
                          <m:sty m:val="p"/>
                        </m:rPr>
                        <w:rPr>
                          <w:rFonts w:ascii="Cambria Math" w:eastAsiaTheme="minorEastAsia" w:hAnsi="Cambria Math"/>
                        </w:rPr>
                        <m:t>1-</m:t>
                      </m:r>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1</m:t>
                          </m:r>
                        </m:sub>
                      </m:sSub>
                    </m:den>
                  </m:f>
                </m:e>
              </m:func>
              <m:r>
                <m:rPr>
                  <m:sty m:val="p"/>
                </m:rPr>
                <w:rPr>
                  <w:rFonts w:ascii="Cambria Math" w:eastAsiaTheme="minorEastAsia" w:hAnsi="Cambria Math"/>
                </w:rPr>
                <m:t>-</m:t>
              </m:r>
              <m:r>
                <m:rPr>
                  <m:sty m:val="p"/>
                </m:rPr>
                <w:rPr>
                  <w:rFonts w:ascii="Cambria Math" w:hAnsi="Cambria Math"/>
                </w:rPr>
                <m:t>ln</m:t>
              </m:r>
              <m:f>
                <m:fPr>
                  <m:ctrlPr>
                    <w:rPr>
                      <w:rFonts w:ascii="Cambria Math" w:eastAsiaTheme="minorEastAsia" w:hAnsi="Cambria Math"/>
                    </w:rPr>
                  </m:ctrlPr>
                </m:fPr>
                <m:num>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0</m:t>
                      </m:r>
                    </m:sub>
                  </m:sSub>
                </m:num>
                <m:den>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1</m:t>
                      </m:r>
                    </m:sub>
                  </m:sSub>
                </m:den>
              </m:f>
            </m:oMath>
          </w:p>
        </w:tc>
        <w:tc>
          <w:tcPr>
            <w:tcW w:w="616" w:type="dxa"/>
            <w:vAlign w:val="center"/>
          </w:tcPr>
          <w:p w:rsidR="00C60A0B" w:rsidRPr="0071667F" w:rsidRDefault="00C60A0B" w:rsidP="00A707FB">
            <w:pPr>
              <w:rPr>
                <w:sz w:val="26"/>
              </w:rPr>
            </w:pPr>
            <w:bookmarkStart w:id="64" w:name="_Ref9009387"/>
            <w:r w:rsidRPr="0071667F">
              <w:rPr>
                <w:sz w:val="26"/>
              </w:rPr>
              <w:t>(</w:t>
            </w:r>
            <w:r w:rsidR="00163A91">
              <w:rPr>
                <w:noProof/>
              </w:rPr>
              <w:fldChar w:fldCharType="begin"/>
            </w:r>
            <w:r>
              <w:rPr>
                <w:rFonts w:eastAsia="MS Mincho"/>
                <w:noProof/>
              </w:rPr>
              <w:instrText xml:space="preserve"> SEQ Rovnice \* ARABIC </w:instrText>
            </w:r>
            <w:r w:rsidR="00163A91">
              <w:rPr>
                <w:noProof/>
              </w:rPr>
              <w:fldChar w:fldCharType="separate"/>
            </w:r>
            <w:r>
              <w:rPr>
                <w:noProof/>
              </w:rPr>
              <w:t>8</w:t>
            </w:r>
            <w:r w:rsidR="00163A91">
              <w:rPr>
                <w:noProof/>
              </w:rPr>
              <w:fldChar w:fldCharType="end"/>
            </w:r>
            <w:r w:rsidRPr="0071667F">
              <w:t>)</w:t>
            </w:r>
            <w:bookmarkEnd w:id="64"/>
          </w:p>
        </w:tc>
      </w:tr>
    </w:tbl>
    <w:p w:rsidR="00C60A0B" w:rsidRDefault="00C60A0B" w:rsidP="00A707FB">
      <w:r>
        <w:t>nebo ze vztahu šancí, pak</w:t>
      </w:r>
    </w:p>
    <w:tbl>
      <w:tblPr>
        <w:tblW w:w="8505" w:type="dxa"/>
        <w:tblLook w:val="04A0"/>
      </w:tblPr>
      <w:tblGrid>
        <w:gridCol w:w="238"/>
        <w:gridCol w:w="7656"/>
        <w:gridCol w:w="611"/>
      </w:tblGrid>
      <w:tr w:rsidR="00C60A0B" w:rsidRPr="00796E65" w:rsidTr="00C60A0B">
        <w:trPr>
          <w:trHeight w:val="851"/>
        </w:trPr>
        <w:tc>
          <w:tcPr>
            <w:tcW w:w="238" w:type="dxa"/>
            <w:vAlign w:val="center"/>
          </w:tcPr>
          <w:p w:rsidR="00C60A0B" w:rsidRPr="00796E65" w:rsidRDefault="00C60A0B" w:rsidP="00A707FB"/>
        </w:tc>
        <w:tc>
          <w:tcPr>
            <w:tcW w:w="7907" w:type="dxa"/>
            <w:vAlign w:val="center"/>
          </w:tcPr>
          <w:p w:rsidR="00C60A0B" w:rsidRPr="00796E65" w:rsidRDefault="00C60A0B" w:rsidP="00A707FB">
            <w:r w:rsidRPr="00700DEB">
              <w:rPr>
                <w:rFonts w:ascii="Symbol" w:hAnsi="Symbol"/>
              </w:rPr>
              <w:t></w:t>
            </w:r>
            <w:r w:rsidRPr="00700DEB">
              <w:rPr>
                <w:vertAlign w:val="subscript"/>
              </w:rPr>
              <w:t>1</w:t>
            </w:r>
            <w:r w:rsidRPr="00796E65">
              <w:t xml:space="preserve"> = </w:t>
            </w:r>
            <m:oMath>
              <m:r>
                <m:rPr>
                  <m:sty m:val="p"/>
                </m:rPr>
                <w:rPr>
                  <w:rFonts w:ascii="Cambria Math" w:hAnsi="Cambria Math"/>
                </w:rPr>
                <m:t xml:space="preserve">ln </m:t>
              </m:r>
              <m:sSub>
                <m:sSubPr>
                  <m:ctrlPr>
                    <w:rPr>
                      <w:rFonts w:ascii="Cambria Math" w:hAnsi="Cambria Math"/>
                    </w:rPr>
                  </m:ctrlPr>
                </m:sSubPr>
                <m:e>
                  <m:r>
                    <w:rPr>
                      <w:rFonts w:ascii="Cambria Math" w:hAnsi="Cambria Math"/>
                    </w:rPr>
                    <m:t>P</m:t>
                  </m:r>
                </m:e>
                <m:sub>
                  <m:r>
                    <m:rPr>
                      <m:sty m:val="p"/>
                    </m:rPr>
                    <w:rPr>
                      <w:rFonts w:ascii="Cambria Math" w:hAnsi="Cambria Math"/>
                    </w:rPr>
                    <m:t>1</m:t>
                  </m:r>
                </m:sub>
              </m:sSub>
              <m:r>
                <m:rPr>
                  <m:sty m:val="p"/>
                </m:rPr>
                <w:rPr>
                  <w:rFonts w:ascii="Cambria Math" w:hAnsi="Cambria Math"/>
                </w:rPr>
                <m:t xml:space="preserve"> – ln </m:t>
              </m:r>
              <m:sSub>
                <m:sSubPr>
                  <m:ctrlPr>
                    <w:rPr>
                      <w:rFonts w:ascii="Cambria Math" w:hAnsi="Cambria Math"/>
                    </w:rPr>
                  </m:ctrlPr>
                </m:sSubPr>
                <m:e>
                  <m:r>
                    <w:rPr>
                      <w:rFonts w:ascii="Cambria Math" w:hAnsi="Cambria Math"/>
                    </w:rPr>
                    <m:t>P</m:t>
                  </m:r>
                </m:e>
                <m:sub>
                  <m:r>
                    <m:rPr>
                      <m:sty m:val="p"/>
                    </m:rPr>
                    <w:rPr>
                      <w:rFonts w:ascii="Cambria Math" w:hAnsi="Cambria Math"/>
                    </w:rPr>
                    <m:t>0</m:t>
                  </m:r>
                </m:sub>
              </m:sSub>
              <m:r>
                <m:rPr>
                  <m:sty m:val="p"/>
                </m:rPr>
                <w:rPr>
                  <w:rFonts w:ascii="Cambria Math" w:hAnsi="Cambria Math"/>
                  <w:vertAlign w:val="subscript"/>
                </w:rPr>
                <m:t>=</m:t>
              </m:r>
              <m:r>
                <m:rPr>
                  <m:sty m:val="p"/>
                </m:rPr>
                <w:rPr>
                  <w:rFonts w:ascii="Cambria Math" w:hAnsi="Cambria Math"/>
                </w:rPr>
                <m:t xml:space="preserve">ln </m:t>
              </m:r>
              <m:f>
                <m:fPr>
                  <m:ctrlPr>
                    <w:rPr>
                      <w:rFonts w:ascii="Cambria Math" w:eastAsiaTheme="minorEastAsia" w:hAnsi="Cambria Math"/>
                      <w:sz w:val="28"/>
                      <w:szCs w:val="28"/>
                    </w:rPr>
                  </m:ctrlPr>
                </m:fPr>
                <m:num>
                  <m:sSub>
                    <m:sSubPr>
                      <m:ctrlPr>
                        <w:rPr>
                          <w:rFonts w:ascii="Cambria Math" w:hAnsi="Cambria Math"/>
                          <w:sz w:val="28"/>
                          <w:szCs w:val="28"/>
                        </w:rPr>
                      </m:ctrlPr>
                    </m:sSubPr>
                    <m:e>
                      <m:r>
                        <m:rPr>
                          <m:sty m:val="p"/>
                        </m:rPr>
                        <w:rPr>
                          <w:rFonts w:ascii="Cambria Math" w:eastAsiaTheme="minorEastAsia" w:hAnsi="Cambria Math"/>
                          <w:sz w:val="28"/>
                          <w:szCs w:val="28"/>
                        </w:rPr>
                        <m:t>π</m:t>
                      </m:r>
                    </m:e>
                    <m:sub>
                      <m:r>
                        <m:rPr>
                          <m:sty m:val="p"/>
                        </m:rPr>
                        <w:rPr>
                          <w:rFonts w:ascii="Cambria Math" w:hAnsi="Cambria Math"/>
                          <w:sz w:val="28"/>
                          <w:szCs w:val="28"/>
                        </w:rPr>
                        <m:t>1</m:t>
                      </m:r>
                    </m:sub>
                  </m:sSub>
                </m:num>
                <m:den>
                  <m:r>
                    <m:rPr>
                      <m:sty m:val="p"/>
                    </m:rPr>
                    <w:rPr>
                      <w:rFonts w:ascii="Cambria Math" w:eastAsiaTheme="minorEastAsia" w:hAnsi="Cambria Math"/>
                      <w:sz w:val="28"/>
                      <w:szCs w:val="28"/>
                    </w:rPr>
                    <m:t>1-</m:t>
                  </m:r>
                  <m:sSub>
                    <m:sSubPr>
                      <m:ctrlPr>
                        <w:rPr>
                          <w:rFonts w:ascii="Cambria Math" w:hAnsi="Cambria Math"/>
                          <w:sz w:val="28"/>
                          <w:szCs w:val="28"/>
                        </w:rPr>
                      </m:ctrlPr>
                    </m:sSubPr>
                    <m:e>
                      <m:r>
                        <m:rPr>
                          <m:sty m:val="p"/>
                        </m:rPr>
                        <w:rPr>
                          <w:rFonts w:ascii="Cambria Math" w:eastAsiaTheme="minorEastAsia" w:hAnsi="Cambria Math"/>
                          <w:sz w:val="28"/>
                          <w:szCs w:val="28"/>
                        </w:rPr>
                        <m:t>π</m:t>
                      </m:r>
                    </m:e>
                    <m:sub>
                      <m:r>
                        <m:rPr>
                          <m:sty m:val="p"/>
                        </m:rPr>
                        <w:rPr>
                          <w:rFonts w:ascii="Cambria Math" w:hAnsi="Cambria Math"/>
                          <w:sz w:val="28"/>
                          <w:szCs w:val="28"/>
                        </w:rPr>
                        <m:t>1</m:t>
                      </m:r>
                    </m:sub>
                  </m:sSub>
                </m:den>
              </m:f>
              <m:r>
                <m:rPr>
                  <m:sty m:val="p"/>
                </m:rPr>
                <w:rPr>
                  <w:rFonts w:ascii="Cambria Math" w:eastAsiaTheme="minorEastAsia" w:hAnsi="Cambria Math"/>
                  <w:sz w:val="28"/>
                  <w:szCs w:val="28"/>
                </w:rPr>
                <m:t>-</m:t>
              </m:r>
              <m:func>
                <m:funcPr>
                  <m:ctrlPr>
                    <w:rPr>
                      <w:rFonts w:ascii="Cambria Math" w:eastAsiaTheme="minorEastAsia" w:hAnsi="Cambria Math"/>
                      <w:sz w:val="28"/>
                      <w:szCs w:val="28"/>
                    </w:rPr>
                  </m:ctrlPr>
                </m:funcPr>
                <m:fName>
                  <m:r>
                    <m:rPr>
                      <m:sty m:val="p"/>
                    </m:rPr>
                    <w:rPr>
                      <w:rFonts w:ascii="Cambria Math" w:hAnsi="Cambria Math"/>
                      <w:vertAlign w:val="subscript"/>
                    </w:rPr>
                    <m:t xml:space="preserve"> </m:t>
                  </m:r>
                  <m:r>
                    <m:rPr>
                      <m:sty m:val="p"/>
                    </m:rPr>
                    <w:rPr>
                      <w:rFonts w:ascii="Cambria Math" w:hAnsi="Cambria Math"/>
                    </w:rPr>
                    <m:t>ln</m:t>
                  </m:r>
                </m:fName>
                <m:e>
                  <m:f>
                    <m:fPr>
                      <m:ctrlPr>
                        <w:rPr>
                          <w:rFonts w:ascii="Cambria Math" w:eastAsiaTheme="minorEastAsia" w:hAnsi="Cambria Math"/>
                          <w:sz w:val="28"/>
                          <w:szCs w:val="28"/>
                        </w:rPr>
                      </m:ctrlPr>
                    </m:fPr>
                    <m:num>
                      <m:sSub>
                        <m:sSubPr>
                          <m:ctrlPr>
                            <w:rPr>
                              <w:rFonts w:ascii="Cambria Math" w:hAnsi="Cambria Math"/>
                              <w:sz w:val="28"/>
                              <w:szCs w:val="28"/>
                            </w:rPr>
                          </m:ctrlPr>
                        </m:sSubPr>
                        <m:e>
                          <m:r>
                            <m:rPr>
                              <m:sty m:val="p"/>
                            </m:rPr>
                            <w:rPr>
                              <w:rFonts w:ascii="Cambria Math" w:eastAsiaTheme="minorEastAsia" w:hAnsi="Cambria Math"/>
                              <w:sz w:val="28"/>
                              <w:szCs w:val="28"/>
                            </w:rPr>
                            <m:t>π</m:t>
                          </m:r>
                        </m:e>
                        <m:sub>
                          <m:r>
                            <m:rPr>
                              <m:sty m:val="p"/>
                            </m:rPr>
                            <w:rPr>
                              <w:rFonts w:ascii="Cambria Math" w:hAnsi="Cambria Math"/>
                              <w:sz w:val="28"/>
                              <w:szCs w:val="28"/>
                            </w:rPr>
                            <m:t>0</m:t>
                          </m:r>
                        </m:sub>
                      </m:sSub>
                    </m:num>
                    <m:den>
                      <m:r>
                        <m:rPr>
                          <m:sty m:val="p"/>
                        </m:rPr>
                        <w:rPr>
                          <w:rFonts w:ascii="Cambria Math" w:eastAsiaTheme="minorEastAsia" w:hAnsi="Cambria Math"/>
                          <w:sz w:val="28"/>
                          <w:szCs w:val="28"/>
                        </w:rPr>
                        <m:t>1-</m:t>
                      </m:r>
                      <m:sSub>
                        <m:sSubPr>
                          <m:ctrlPr>
                            <w:rPr>
                              <w:rFonts w:ascii="Cambria Math" w:hAnsi="Cambria Math"/>
                              <w:sz w:val="28"/>
                              <w:szCs w:val="28"/>
                            </w:rPr>
                          </m:ctrlPr>
                        </m:sSubPr>
                        <m:e>
                          <m:r>
                            <m:rPr>
                              <m:sty m:val="p"/>
                            </m:rPr>
                            <w:rPr>
                              <w:rFonts w:ascii="Cambria Math" w:eastAsiaTheme="minorEastAsia" w:hAnsi="Cambria Math"/>
                              <w:sz w:val="28"/>
                              <w:szCs w:val="28"/>
                            </w:rPr>
                            <m:t>π</m:t>
                          </m:r>
                        </m:e>
                        <m:sub>
                          <m:r>
                            <m:rPr>
                              <m:sty m:val="p"/>
                            </m:rPr>
                            <w:rPr>
                              <w:rFonts w:ascii="Cambria Math" w:hAnsi="Cambria Math"/>
                              <w:sz w:val="28"/>
                              <w:szCs w:val="28"/>
                            </w:rPr>
                            <m:t>0</m:t>
                          </m:r>
                        </m:sub>
                      </m:sSub>
                    </m:den>
                  </m:f>
                </m:e>
              </m:func>
            </m:oMath>
            <w:r w:rsidRPr="00796E65">
              <w:rPr>
                <w:rFonts w:eastAsiaTheme="minorEastAsia"/>
                <w:vertAlign w:val="subscript"/>
              </w:rPr>
              <w:t xml:space="preserve"> </w:t>
            </w:r>
          </w:p>
        </w:tc>
        <w:tc>
          <w:tcPr>
            <w:tcW w:w="616" w:type="dxa"/>
            <w:vAlign w:val="center"/>
          </w:tcPr>
          <w:p w:rsidR="00C60A0B" w:rsidRPr="00796E65" w:rsidRDefault="00C60A0B" w:rsidP="00A707FB">
            <w:pPr>
              <w:rPr>
                <w:sz w:val="26"/>
              </w:rPr>
            </w:pPr>
            <w:bookmarkStart w:id="65" w:name="_Ref9008314"/>
            <w:r w:rsidRPr="00796E65">
              <w:rPr>
                <w:sz w:val="26"/>
              </w:rPr>
              <w:t>(</w:t>
            </w:r>
            <w:r w:rsidR="00163A91">
              <w:rPr>
                <w:noProof/>
              </w:rPr>
              <w:fldChar w:fldCharType="begin"/>
            </w:r>
            <w:r>
              <w:rPr>
                <w:rFonts w:eastAsia="MS Mincho"/>
                <w:noProof/>
              </w:rPr>
              <w:instrText xml:space="preserve"> SEQ Rovnice \* ARABIC </w:instrText>
            </w:r>
            <w:r w:rsidR="00163A91">
              <w:rPr>
                <w:noProof/>
              </w:rPr>
              <w:fldChar w:fldCharType="separate"/>
            </w:r>
            <w:r>
              <w:rPr>
                <w:noProof/>
              </w:rPr>
              <w:t>9</w:t>
            </w:r>
            <w:r w:rsidR="00163A91">
              <w:rPr>
                <w:noProof/>
              </w:rPr>
              <w:fldChar w:fldCharType="end"/>
            </w:r>
            <w:r w:rsidRPr="00796E65">
              <w:t>)</w:t>
            </w:r>
            <w:bookmarkEnd w:id="65"/>
          </w:p>
        </w:tc>
      </w:tr>
    </w:tbl>
    <w:p w:rsidR="00C60A0B" w:rsidRDefault="00C60A0B" w:rsidP="00A707FB">
      <w:r w:rsidRPr="00294EE7">
        <w:t>Odečítaná hodnota v rovnici</w:t>
      </w:r>
      <w:r>
        <w:rPr>
          <w:b/>
        </w:rPr>
        <w:t xml:space="preserve"> </w:t>
      </w:r>
      <w:fldSimple w:instr=" REF _Ref9008314 \h  \* MERGEFORMAT ">
        <w:r w:rsidRPr="00796E65">
          <w:rPr>
            <w:rFonts w:cs="Times New Roman"/>
            <w:sz w:val="26"/>
          </w:rPr>
          <w:t>(</w:t>
        </w:r>
        <w:r>
          <w:rPr>
            <w:noProof/>
          </w:rPr>
          <w:t>9</w:t>
        </w:r>
        <w:r w:rsidRPr="00796E65">
          <w:t>)</w:t>
        </w:r>
      </w:fldSimple>
      <w:r>
        <w:t xml:space="preserve"> je pak </w:t>
      </w:r>
      <w:r w:rsidRPr="00836D04">
        <w:t>stav, z něhož se vychází</w:t>
      </w:r>
      <w:r>
        <w:t xml:space="preserve">, tedy odhad koeficientu </w:t>
      </w:r>
      <w:r>
        <w:rPr>
          <w:rFonts w:ascii="Symbol" w:hAnsi="Symbol"/>
        </w:rPr>
        <w:t></w:t>
      </w:r>
      <w:r>
        <w:rPr>
          <w:rFonts w:cs="Times New Roman"/>
          <w:vertAlign w:val="subscript"/>
        </w:rPr>
        <w:t>0</w:t>
      </w:r>
      <w:r>
        <w:rPr>
          <w:rFonts w:cs="Times New Roman"/>
        </w:rPr>
        <w:t xml:space="preserve"> </w:t>
      </w:r>
      <w:r w:rsidR="00163A91">
        <w:fldChar w:fldCharType="begin"/>
      </w:r>
      <w:r>
        <w:instrText xml:space="preserve"> ADDIN ZOTERO_ITEM CSL_CITATION {"citationID":"IgcdpV4H","properties":{"formattedCitation":"(\\uc0\\u344{}ezankov\\uc0\\u225{}, 2017)","plainCitation":"(Řezanková, 2017)","noteIndex":0},"citationItems":[{"id":52,"uris":["http://zotero.org/users/4807530/items/BQCT7QED"],"uri":["http://zotero.org/users/4807530/items/BQCT7QED"],"itemData":{"id":52,"type":"book","title":"Analýza dat z dotazníkových šetření (čtvrté přepracované vydání)","publisher":"Professional Publishing","publisher-place":"Praha","number-of-pages":"217","source":"Google Books","event-place":"Praha","ISBN":"978-80-906594-8-3","language":"cs","author":[{"family":"Řezanková","given":"Hana"}],"issued":{"date-parts":[["2017"]]}}}],"schema":"https://github.com/citation-style-language/schema/raw/master/csl-citation.json"} </w:instrText>
      </w:r>
      <w:r w:rsidR="00163A91">
        <w:fldChar w:fldCharType="separate"/>
      </w:r>
      <w:r w:rsidRPr="00D47E17">
        <w:rPr>
          <w:rFonts w:cs="Times New Roman"/>
          <w:szCs w:val="24"/>
        </w:rPr>
        <w:t>(Řezanková, 2017)</w:t>
      </w:r>
      <w:r w:rsidR="00163A91">
        <w:fldChar w:fldCharType="end"/>
      </w:r>
      <w:r>
        <w:t>,</w:t>
      </w:r>
      <w:r>
        <w:rPr>
          <w:rFonts w:cs="Times New Roman"/>
        </w:rPr>
        <w:t xml:space="preserve"> který představuje konstantu v modelu logistické regrese a je přirozeným logaritmem šance P</w:t>
      </w:r>
      <w:r>
        <w:rPr>
          <w:rFonts w:cs="Times New Roman"/>
          <w:vertAlign w:val="subscript"/>
        </w:rPr>
        <w:t>0.</w:t>
      </w:r>
      <w:r>
        <w:rPr>
          <w:rFonts w:cs="Times New Roman"/>
        </w:rPr>
        <w:t xml:space="preserve"> Koeficient </w:t>
      </w:r>
      <w:r>
        <w:rPr>
          <w:rFonts w:ascii="Symbol" w:hAnsi="Symbol"/>
        </w:rPr>
        <w:t></w:t>
      </w:r>
      <w:r>
        <w:rPr>
          <w:rFonts w:cs="Times New Roman"/>
          <w:vertAlign w:val="subscript"/>
        </w:rPr>
        <w:t>0</w:t>
      </w:r>
      <w:r>
        <w:rPr>
          <w:rFonts w:cs="Times New Roman"/>
        </w:rPr>
        <w:t xml:space="preserve"> je tedy dán následujícím vztahem:</w:t>
      </w:r>
    </w:p>
    <w:tbl>
      <w:tblPr>
        <w:tblW w:w="8505" w:type="dxa"/>
        <w:tblLook w:val="04A0"/>
      </w:tblPr>
      <w:tblGrid>
        <w:gridCol w:w="1634"/>
        <w:gridCol w:w="5304"/>
        <w:gridCol w:w="1567"/>
      </w:tblGrid>
      <w:tr w:rsidR="00C60A0B" w:rsidRPr="00796E65" w:rsidTr="00C60A0B">
        <w:trPr>
          <w:trHeight w:val="851"/>
        </w:trPr>
        <w:tc>
          <w:tcPr>
            <w:tcW w:w="1668" w:type="dxa"/>
            <w:vAlign w:val="center"/>
          </w:tcPr>
          <w:p w:rsidR="00C60A0B" w:rsidRPr="00796E65" w:rsidRDefault="00C60A0B" w:rsidP="00A707FB"/>
        </w:tc>
        <w:tc>
          <w:tcPr>
            <w:tcW w:w="5386" w:type="dxa"/>
            <w:vAlign w:val="center"/>
          </w:tcPr>
          <w:p w:rsidR="00C60A0B" w:rsidRPr="00796E65" w:rsidRDefault="00C60A0B" w:rsidP="00A707FB">
            <w:r w:rsidRPr="00700DEB">
              <w:rPr>
                <w:rFonts w:ascii="Symbol" w:hAnsi="Symbol"/>
              </w:rPr>
              <w:t></w:t>
            </w:r>
            <w:r w:rsidRPr="00700DEB">
              <w:rPr>
                <w:vertAlign w:val="subscript"/>
              </w:rPr>
              <w:t>0 (konstanta)</w:t>
            </w:r>
            <w:r w:rsidRPr="00796E65">
              <w:rPr>
                <w:vertAlign w:val="subscript"/>
              </w:rPr>
              <w:t xml:space="preserve"> </w:t>
            </w:r>
            <w:r w:rsidRPr="00796E65">
              <w:t>=</w:t>
            </w:r>
            <m:oMath>
              <m:r>
                <w:rPr>
                  <w:rFonts w:ascii="Cambria Math" w:hAnsi="Cambria Math"/>
                </w:rPr>
                <m:t xml:space="preserve"> </m:t>
              </m:r>
              <m:func>
                <m:funcPr>
                  <m:ctrlPr>
                    <w:rPr>
                      <w:rFonts w:ascii="Cambria Math" w:eastAsiaTheme="minorEastAsia" w:hAnsi="Cambria Math"/>
                    </w:rPr>
                  </m:ctrlPr>
                </m:funcPr>
                <m:fName>
                  <m:r>
                    <m:rPr>
                      <m:sty m:val="p"/>
                    </m:rPr>
                    <w:rPr>
                      <w:rFonts w:ascii="Cambria Math" w:eastAsiaTheme="minorEastAsia" w:hAnsi="Cambria Math"/>
                    </w:rPr>
                    <m:t xml:space="preserve">ln </m:t>
                  </m:r>
                  <m:sSub>
                    <m:sSubPr>
                      <m:ctrlPr>
                        <w:rPr>
                          <w:rFonts w:ascii="Cambria Math" w:hAnsi="Cambria Math"/>
                        </w:rPr>
                      </m:ctrlPr>
                    </m:sSubPr>
                    <m:e>
                      <m:r>
                        <w:rPr>
                          <w:rFonts w:ascii="Cambria Math" w:hAnsi="Cambria Math"/>
                        </w:rPr>
                        <m:t>P</m:t>
                      </m:r>
                    </m:e>
                    <m:sub>
                      <m:r>
                        <m:rPr>
                          <m:sty m:val="p"/>
                        </m:rPr>
                        <w:rPr>
                          <w:rFonts w:ascii="Cambria Math" w:hAnsi="Cambria Math"/>
                        </w:rPr>
                        <m:t>0</m:t>
                      </m:r>
                    </m:sub>
                  </m:sSub>
                  <m:r>
                    <m:rPr>
                      <m:sty m:val="p"/>
                    </m:rPr>
                    <w:rPr>
                      <w:rFonts w:ascii="Cambria Math" w:eastAsiaTheme="minorEastAsia" w:hAnsi="Cambria Math"/>
                    </w:rPr>
                    <m:t>=ln</m:t>
                  </m:r>
                </m:fName>
                <m:e>
                  <m:f>
                    <m:fPr>
                      <m:ctrlPr>
                        <w:rPr>
                          <w:rFonts w:ascii="Cambria Math" w:eastAsiaTheme="minorEastAsia" w:hAnsi="Cambria Math"/>
                        </w:rPr>
                      </m:ctrlPr>
                    </m:fPr>
                    <m:num>
                      <m:sSub>
                        <m:sSubPr>
                          <m:ctrlPr>
                            <w:rPr>
                              <w:rFonts w:ascii="Cambria Math" w:hAnsi="Cambria Math"/>
                            </w:rPr>
                          </m:ctrlPr>
                        </m:sSubPr>
                        <m:e>
                          <m:r>
                            <m:rPr>
                              <m:sty m:val="p"/>
                            </m:rPr>
                            <w:rPr>
                              <w:rFonts w:ascii="Cambria Math" w:eastAsiaTheme="minorEastAsia" w:hAnsi="Cambria Math"/>
                            </w:rPr>
                            <m:t>π</m:t>
                          </m:r>
                        </m:e>
                        <m:sub>
                          <m:r>
                            <m:rPr>
                              <m:sty m:val="p"/>
                            </m:rPr>
                            <w:rPr>
                              <w:rFonts w:ascii="Cambria Math" w:hAnsi="Cambria Math"/>
                            </w:rPr>
                            <m:t>0</m:t>
                          </m:r>
                        </m:sub>
                      </m:sSub>
                    </m:num>
                    <m:den>
                      <m:sSub>
                        <m:sSubPr>
                          <m:ctrlPr>
                            <w:rPr>
                              <w:rFonts w:ascii="Cambria Math" w:hAnsi="Cambria Math"/>
                            </w:rPr>
                          </m:ctrlPr>
                        </m:sSubPr>
                        <m:e>
                          <m:r>
                            <m:rPr>
                              <m:sty m:val="p"/>
                            </m:rPr>
                            <w:rPr>
                              <w:rFonts w:ascii="Cambria Math" w:eastAsiaTheme="minorEastAsia" w:hAnsi="Cambria Math"/>
                            </w:rPr>
                            <m:t>1-π</m:t>
                          </m:r>
                        </m:e>
                        <m:sub>
                          <m:r>
                            <m:rPr>
                              <m:sty m:val="p"/>
                            </m:rPr>
                            <w:rPr>
                              <w:rFonts w:ascii="Cambria Math" w:hAnsi="Cambria Math"/>
                            </w:rPr>
                            <m:t>0</m:t>
                          </m:r>
                        </m:sub>
                      </m:sSub>
                    </m:den>
                  </m:f>
                </m:e>
              </m:func>
            </m:oMath>
            <w:r w:rsidRPr="00796E65">
              <w:t xml:space="preserve">  </w:t>
            </w:r>
            <w:r>
              <w:t xml:space="preserve"> </w:t>
            </w:r>
          </w:p>
        </w:tc>
        <w:tc>
          <w:tcPr>
            <w:tcW w:w="1590" w:type="dxa"/>
            <w:vAlign w:val="center"/>
          </w:tcPr>
          <w:p w:rsidR="00C60A0B" w:rsidRPr="00796E65" w:rsidRDefault="00C60A0B" w:rsidP="00A707FB">
            <w:bookmarkStart w:id="66" w:name="_Ref8932832"/>
            <w:r w:rsidRPr="00796E65">
              <w:t>(</w:t>
            </w:r>
            <w:r w:rsidR="00163A91">
              <w:rPr>
                <w:noProof/>
              </w:rPr>
              <w:fldChar w:fldCharType="begin"/>
            </w:r>
            <w:r>
              <w:rPr>
                <w:rFonts w:eastAsia="MS Mincho"/>
                <w:noProof/>
              </w:rPr>
              <w:instrText xml:space="preserve"> SEQ Rovnice \* ARABIC </w:instrText>
            </w:r>
            <w:r w:rsidR="00163A91">
              <w:rPr>
                <w:noProof/>
              </w:rPr>
              <w:fldChar w:fldCharType="separate"/>
            </w:r>
            <w:r>
              <w:rPr>
                <w:noProof/>
              </w:rPr>
              <w:t>10</w:t>
            </w:r>
            <w:r w:rsidR="00163A91">
              <w:rPr>
                <w:noProof/>
              </w:rPr>
              <w:fldChar w:fldCharType="end"/>
            </w:r>
            <w:r w:rsidRPr="00796E65">
              <w:t>)</w:t>
            </w:r>
            <w:bookmarkEnd w:id="66"/>
          </w:p>
        </w:tc>
      </w:tr>
    </w:tbl>
    <w:p w:rsidR="00C60A0B" w:rsidRPr="00015D38" w:rsidRDefault="00C60A0B" w:rsidP="00A707FB">
      <w:r w:rsidRPr="00015D38">
        <w:t xml:space="preserve">Poměr šancí stanovený ve čtyřpolní tabulce </w:t>
      </w:r>
      <w:r>
        <w:t>je shodný</w:t>
      </w:r>
      <w:r w:rsidRPr="00015D38">
        <w:t xml:space="preserve"> s poměrem šancí zjištěným pomocí logistického regresního modelu s jednou dichotomickou vysvětlující proměnnou (když vysvětlovaná proměnná je v rámci binární logistické regrese dichotomická vždy).</w:t>
      </w:r>
    </w:p>
    <w:p w:rsidR="00C60A0B" w:rsidRDefault="00C60A0B" w:rsidP="00A707FB">
      <w:r>
        <w:t>Z uvedeného plyne, že vztah dichotomické vysvětlované a dichotomické vysvětlující proměnné lze analyzovat dvěma způsoby, a to:</w:t>
      </w:r>
    </w:p>
    <w:p w:rsidR="00C60A0B" w:rsidRDefault="00C60A0B" w:rsidP="005A5A62">
      <w:pPr>
        <w:pStyle w:val="Odstavecseseznamem"/>
        <w:numPr>
          <w:ilvl w:val="0"/>
          <w:numId w:val="21"/>
        </w:numPr>
        <w:spacing w:after="200" w:line="360" w:lineRule="auto"/>
      </w:pPr>
      <w:r>
        <w:t>Pomocí poměru šancí ve čtyřpolní tabulce</w:t>
      </w:r>
    </w:p>
    <w:p w:rsidR="00C60A0B" w:rsidRDefault="00C60A0B" w:rsidP="005A5A62">
      <w:pPr>
        <w:pStyle w:val="Odstavecseseznamem"/>
        <w:numPr>
          <w:ilvl w:val="0"/>
          <w:numId w:val="21"/>
        </w:numPr>
        <w:spacing w:after="200" w:line="360" w:lineRule="auto"/>
      </w:pPr>
      <w:r>
        <w:t>Pomocí logistické regrese s jednou dichotomickou vysvětlující proměnnou</w:t>
      </w:r>
    </w:p>
    <w:p w:rsidR="00C60A0B" w:rsidRDefault="00C60A0B" w:rsidP="00A707FB">
      <w:r>
        <w:t xml:space="preserve">Z </w:t>
      </w:r>
      <w:r w:rsidRPr="00B726F9">
        <w:rPr>
          <w:b/>
        </w:rPr>
        <w:t>výsledků logistické regrese</w:t>
      </w:r>
      <w:r>
        <w:t xml:space="preserve"> lze stanovit poměr šancí pomocí funkce </w:t>
      </w:r>
      <w:r w:rsidRPr="00201940">
        <w:rPr>
          <w:i/>
        </w:rPr>
        <w:t>e</w:t>
      </w:r>
      <w:r w:rsidRPr="00201940">
        <w:rPr>
          <w:i/>
          <w:vertAlign w:val="superscript"/>
        </w:rPr>
        <w:t>x</w:t>
      </w:r>
      <w:r w:rsidRPr="0010623A">
        <w:t>,</w:t>
      </w:r>
      <w:r>
        <w:t xml:space="preserve"> kde parametr </w:t>
      </w:r>
      <w:r w:rsidRPr="00015D38">
        <w:rPr>
          <w:i/>
        </w:rPr>
        <w:t>x</w:t>
      </w:r>
      <w:r>
        <w:t xml:space="preserve"> představuje koeficient </w:t>
      </w:r>
      <w:r>
        <w:rPr>
          <w:rFonts w:ascii="Symbol" w:hAnsi="Symbol"/>
        </w:rPr>
        <w:t></w:t>
      </w:r>
      <w:r w:rsidRPr="00DD6470">
        <w:rPr>
          <w:rFonts w:cs="Times New Roman"/>
          <w:vertAlign w:val="subscript"/>
        </w:rPr>
        <w:t>1</w:t>
      </w:r>
      <w:r>
        <w:t xml:space="preserve">, tedy pro poměr šancí na základě výsledků logistické regrese platí: </w:t>
      </w:r>
    </w:p>
    <w:tbl>
      <w:tblPr>
        <w:tblW w:w="8505" w:type="dxa"/>
        <w:tblLook w:val="04A0"/>
      </w:tblPr>
      <w:tblGrid>
        <w:gridCol w:w="2323"/>
        <w:gridCol w:w="3782"/>
        <w:gridCol w:w="2400"/>
      </w:tblGrid>
      <w:tr w:rsidR="00C60A0B" w:rsidTr="00C60A0B">
        <w:trPr>
          <w:trHeight w:val="851"/>
        </w:trPr>
        <w:tc>
          <w:tcPr>
            <w:tcW w:w="2412" w:type="dxa"/>
            <w:vAlign w:val="center"/>
          </w:tcPr>
          <w:p w:rsidR="00C60A0B" w:rsidRDefault="00C60A0B" w:rsidP="00A707FB"/>
        </w:tc>
        <w:tc>
          <w:tcPr>
            <w:tcW w:w="3886" w:type="dxa"/>
            <w:vAlign w:val="center"/>
          </w:tcPr>
          <w:p w:rsidR="00C60A0B" w:rsidRPr="00BF5339" w:rsidRDefault="00C60A0B" w:rsidP="00A707FB">
            <w:pPr>
              <w:rPr>
                <w:i/>
              </w:rPr>
            </w:pPr>
            <m:oMathPara>
              <m:oMath>
                <m:r>
                  <w:rPr>
                    <w:rFonts w:ascii="Cambria Math" w:hAnsi="Cambria Math"/>
                  </w:rPr>
                  <m:t>OR=</m:t>
                </m:r>
                <m:r>
                  <m:rPr>
                    <m:sty m:val="p"/>
                  </m:rPr>
                  <w:rPr>
                    <w:rFonts w:ascii="Cambria Math" w:hAnsi="Cambria Math"/>
                  </w:rPr>
                  <m:t>exp⁡(</m:t>
                </m:r>
                <m:sSub>
                  <m:sSubPr>
                    <m:ctrlPr>
                      <w:rPr>
                        <w:rFonts w:ascii="Cambria Math" w:eastAsia="Cambria Math" w:hAnsi="Cambria Math" w:cs="Cambria Math"/>
                      </w:rPr>
                    </m:ctrlPr>
                  </m:sSubPr>
                  <m:e>
                    <m:r>
                      <m:rPr>
                        <m:sty m:val="p"/>
                      </m:rPr>
                      <w:rPr>
                        <w:rFonts w:ascii="Cambria Math" w:eastAsia="Cambria Math" w:hAnsi="Cambria Math" w:cs="Cambria Math"/>
                      </w:rPr>
                      <m:t>β</m:t>
                    </m:r>
                  </m:e>
                  <m:sub>
                    <m:r>
                      <m:rPr>
                        <m:sty m:val="p"/>
                      </m:rPr>
                      <w:rPr>
                        <w:rFonts w:ascii="Cambria Math" w:eastAsia="Cambria Math" w:hAnsi="Cambria Math" w:cs="Cambria Math"/>
                      </w:rPr>
                      <m:t>1</m:t>
                    </m:r>
                  </m:sub>
                </m:sSub>
                <m:r>
                  <m:rPr>
                    <m:sty m:val="p"/>
                  </m:rPr>
                  <w:rPr>
                    <w:rFonts w:ascii="Cambria Math" w:eastAsia="Cambria Math" w:hAnsi="Cambria Math" w:cs="Cambria Math"/>
                  </w:rPr>
                  <m:t>)</m:t>
                </m:r>
              </m:oMath>
            </m:oMathPara>
          </w:p>
        </w:tc>
        <w:tc>
          <w:tcPr>
            <w:tcW w:w="2476" w:type="dxa"/>
            <w:vAlign w:val="center"/>
          </w:tcPr>
          <w:p w:rsidR="00C60A0B" w:rsidRDefault="00C60A0B" w:rsidP="00A707FB">
            <w:bookmarkStart w:id="67" w:name="_Ref9010049"/>
            <w:r>
              <w:t>(</w:t>
            </w:r>
            <w:r w:rsidR="00163A91">
              <w:rPr>
                <w:noProof/>
              </w:rPr>
              <w:fldChar w:fldCharType="begin"/>
            </w:r>
            <w:r>
              <w:rPr>
                <w:rFonts w:eastAsia="MS Mincho"/>
                <w:noProof/>
              </w:rPr>
              <w:instrText xml:space="preserve"> SEQ Rovnice \* ARABIC </w:instrText>
            </w:r>
            <w:r w:rsidR="00163A91">
              <w:rPr>
                <w:noProof/>
              </w:rPr>
              <w:fldChar w:fldCharType="separate"/>
            </w:r>
            <w:r>
              <w:rPr>
                <w:noProof/>
              </w:rPr>
              <w:t>11</w:t>
            </w:r>
            <w:r w:rsidR="00163A91">
              <w:rPr>
                <w:noProof/>
              </w:rPr>
              <w:fldChar w:fldCharType="end"/>
            </w:r>
            <w:r>
              <w:t>)</w:t>
            </w:r>
            <w:bookmarkEnd w:id="67"/>
          </w:p>
        </w:tc>
      </w:tr>
    </w:tbl>
    <w:p w:rsidR="00C60A0B" w:rsidRDefault="00C60A0B" w:rsidP="00A707FB">
      <w:r>
        <w:t xml:space="preserve">Z uvedeného plyne, že pro analýzu závislosti indikátorů úpadku stanovených jako polarita určitého ukazatele na polaritě ostatních vybraných ukazatelů odděleně, </w:t>
      </w:r>
      <w:r w:rsidRPr="00B726F9">
        <w:rPr>
          <w:b/>
        </w:rPr>
        <w:t>lze se shodným výsledkem použít jak poměr šancí stanovený ve čtyřpolní tabulce, tak logistickou regresi s jednou dichotomickou vysvětlující proměnnou</w:t>
      </w:r>
      <w:r>
        <w:t>.</w:t>
      </w:r>
    </w:p>
    <w:p w:rsidR="00C60A0B" w:rsidRDefault="00C60A0B" w:rsidP="00A707FB">
      <w:r>
        <w:t xml:space="preserve">Na rozdíl od čtyřpolní tabulky však </w:t>
      </w:r>
      <w:r w:rsidRPr="00B726F9">
        <w:rPr>
          <w:b/>
        </w:rPr>
        <w:t>logistická regrese umožňuje zařadit více vysvětlujících dichotomických proměnných</w:t>
      </w:r>
      <w:r>
        <w:t>, a proto byla využita pro analýzu vztahů každého z indikátorů úpadku (jako dichotomické vysvětlované proměnné) a všech vysvětlujících dichotomických proměnných.</w:t>
      </w:r>
    </w:p>
    <w:p w:rsidR="00E76418" w:rsidRDefault="00E76418" w:rsidP="00A707FB"/>
    <w:p w:rsidR="00E76418" w:rsidRDefault="00E76418" w:rsidP="00A707FB"/>
    <w:p w:rsidR="00E76418" w:rsidRDefault="00E76418" w:rsidP="00A707FB"/>
    <w:p w:rsidR="00E76418" w:rsidRDefault="00E76418" w:rsidP="00C60A0B"/>
    <w:p w:rsidR="00E76418" w:rsidRDefault="00C60A0B" w:rsidP="005A5A62">
      <w:pPr>
        <w:pStyle w:val="Nadpis3"/>
        <w:numPr>
          <w:ilvl w:val="2"/>
          <w:numId w:val="15"/>
        </w:numPr>
      </w:pPr>
      <w:bookmarkStart w:id="68" w:name="_Toc506069333"/>
      <w:bookmarkStart w:id="69" w:name="_Toc506149960"/>
      <w:bookmarkStart w:id="70" w:name="_Toc31054458"/>
      <w:r w:rsidRPr="00584CB6">
        <w:lastRenderedPageBreak/>
        <w:t>Výsledky</w:t>
      </w:r>
      <w:r>
        <w:t xml:space="preserve"> analýzy</w:t>
      </w:r>
      <w:bookmarkStart w:id="71" w:name="_Toc506069341"/>
      <w:bookmarkStart w:id="72" w:name="_Toc506149969"/>
      <w:bookmarkEnd w:id="68"/>
      <w:bookmarkEnd w:id="69"/>
      <w:bookmarkEnd w:id="70"/>
    </w:p>
    <w:p w:rsidR="00C60A0B" w:rsidRDefault="00C60A0B" w:rsidP="005A5A62">
      <w:pPr>
        <w:pStyle w:val="Nadpis4"/>
        <w:numPr>
          <w:ilvl w:val="3"/>
          <w:numId w:val="15"/>
        </w:numPr>
      </w:pPr>
      <w:r>
        <w:t>Analýza indikátoru platební neschopnosti</w:t>
      </w:r>
    </w:p>
    <w:p w:rsidR="00E76418" w:rsidRPr="00E76418" w:rsidRDefault="00E76418" w:rsidP="00E76418"/>
    <w:p w:rsidR="00C60A0B" w:rsidRDefault="00C60A0B" w:rsidP="00C60A0B">
      <w:pPr>
        <w:pStyle w:val="Titulek"/>
      </w:pPr>
      <w:bookmarkStart w:id="73" w:name="_Toc31054801"/>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25</w:t>
      </w:r>
      <w:r w:rsidR="00163A91">
        <w:rPr>
          <w:noProof/>
        </w:rPr>
        <w:fldChar w:fldCharType="end"/>
      </w:r>
      <w:r>
        <w:t xml:space="preserve"> – Absolutní a relativní četnost polarity nutné hotovosti</w:t>
      </w:r>
      <w:bookmarkEnd w:id="73"/>
    </w:p>
    <w:tbl>
      <w:tblPr>
        <w:tblW w:w="5000" w:type="pct"/>
        <w:tblCellMar>
          <w:left w:w="70" w:type="dxa"/>
          <w:right w:w="70" w:type="dxa"/>
        </w:tblCellMar>
        <w:tblLook w:val="04A0"/>
      </w:tblPr>
      <w:tblGrid>
        <w:gridCol w:w="4674"/>
        <w:gridCol w:w="2270"/>
        <w:gridCol w:w="2268"/>
      </w:tblGrid>
      <w:tr w:rsidR="00C60A0B" w:rsidRPr="003A1AA0" w:rsidTr="00C60A0B">
        <w:trPr>
          <w:trHeight w:val="392"/>
        </w:trPr>
        <w:tc>
          <w:tcPr>
            <w:tcW w:w="2537" w:type="pct"/>
            <w:tcBorders>
              <w:top w:val="single" w:sz="4" w:space="0" w:color="auto"/>
              <w:left w:val="single" w:sz="4" w:space="0" w:color="auto"/>
              <w:bottom w:val="nil"/>
              <w:right w:val="single" w:sz="4" w:space="0" w:color="auto"/>
            </w:tcBorders>
            <w:shd w:val="clear" w:color="auto" w:fill="auto"/>
            <w:noWrap/>
            <w:vAlign w:val="center"/>
            <w:hideMark/>
          </w:tcPr>
          <w:p w:rsidR="00C60A0B" w:rsidRPr="00A707FB" w:rsidRDefault="00C60A0B" w:rsidP="00A707FB">
            <w:pPr>
              <w:rPr>
                <w:sz w:val="18"/>
                <w:szCs w:val="18"/>
                <w:lang w:eastAsia="cs-CZ"/>
              </w:rPr>
            </w:pPr>
            <w:r w:rsidRPr="00A707FB">
              <w:rPr>
                <w:sz w:val="18"/>
                <w:szCs w:val="18"/>
                <w:lang w:eastAsia="cs-CZ"/>
              </w:rPr>
              <w:t> </w:t>
            </w:r>
          </w:p>
        </w:tc>
        <w:tc>
          <w:tcPr>
            <w:tcW w:w="1232" w:type="pct"/>
            <w:tcBorders>
              <w:top w:val="single" w:sz="4" w:space="0" w:color="auto"/>
              <w:left w:val="nil"/>
              <w:bottom w:val="single" w:sz="4" w:space="0" w:color="152935"/>
              <w:right w:val="single" w:sz="4" w:space="0" w:color="E0E0E0"/>
            </w:tcBorders>
            <w:shd w:val="clear" w:color="auto" w:fill="auto"/>
            <w:vAlign w:val="center"/>
            <w:hideMark/>
          </w:tcPr>
          <w:p w:rsidR="00C60A0B" w:rsidRPr="00A707FB" w:rsidRDefault="00C60A0B" w:rsidP="00A707FB">
            <w:pPr>
              <w:rPr>
                <w:rFonts w:ascii="Arial" w:hAnsi="Arial" w:cs="Arial"/>
                <w:color w:val="264A60"/>
                <w:sz w:val="18"/>
                <w:szCs w:val="18"/>
                <w:lang w:eastAsia="cs-CZ"/>
              </w:rPr>
            </w:pPr>
            <w:r w:rsidRPr="00A707FB">
              <w:rPr>
                <w:rFonts w:ascii="Arial" w:hAnsi="Arial" w:cs="Arial"/>
                <w:color w:val="264A60"/>
                <w:sz w:val="18"/>
                <w:szCs w:val="18"/>
                <w:lang w:eastAsia="cs-CZ"/>
              </w:rPr>
              <w:t>Absolutní četnost</w:t>
            </w:r>
          </w:p>
        </w:tc>
        <w:tc>
          <w:tcPr>
            <w:tcW w:w="1231" w:type="pct"/>
            <w:tcBorders>
              <w:top w:val="single" w:sz="4" w:space="0" w:color="auto"/>
              <w:left w:val="nil"/>
              <w:bottom w:val="single" w:sz="4" w:space="0" w:color="152935"/>
              <w:right w:val="single" w:sz="4" w:space="0" w:color="auto"/>
            </w:tcBorders>
            <w:shd w:val="clear" w:color="auto" w:fill="auto"/>
            <w:vAlign w:val="center"/>
            <w:hideMark/>
          </w:tcPr>
          <w:p w:rsidR="00C60A0B" w:rsidRPr="00A707FB" w:rsidRDefault="00C60A0B" w:rsidP="00A707FB">
            <w:pPr>
              <w:rPr>
                <w:rFonts w:ascii="Arial" w:hAnsi="Arial" w:cs="Arial"/>
                <w:color w:val="264A60"/>
                <w:sz w:val="18"/>
                <w:szCs w:val="18"/>
                <w:lang w:eastAsia="cs-CZ"/>
              </w:rPr>
            </w:pPr>
            <w:r w:rsidRPr="00A707FB">
              <w:rPr>
                <w:rFonts w:ascii="Arial" w:hAnsi="Arial" w:cs="Arial"/>
                <w:color w:val="264A60"/>
                <w:sz w:val="18"/>
                <w:szCs w:val="18"/>
                <w:lang w:eastAsia="cs-CZ"/>
              </w:rPr>
              <w:t>Relativní četnost</w:t>
            </w:r>
          </w:p>
        </w:tc>
      </w:tr>
      <w:tr w:rsidR="00C60A0B" w:rsidRPr="003A1AA0" w:rsidTr="00C60A0B">
        <w:trPr>
          <w:trHeight w:val="406"/>
        </w:trPr>
        <w:tc>
          <w:tcPr>
            <w:tcW w:w="2537" w:type="pct"/>
            <w:tcBorders>
              <w:top w:val="single" w:sz="4" w:space="0" w:color="152935"/>
              <w:left w:val="single" w:sz="4" w:space="0" w:color="auto"/>
              <w:bottom w:val="single" w:sz="4" w:space="0" w:color="AEAEAE"/>
              <w:right w:val="single" w:sz="4" w:space="0" w:color="auto"/>
            </w:tcBorders>
            <w:shd w:val="clear" w:color="000000" w:fill="E0E0E0"/>
            <w:vAlign w:val="center"/>
            <w:hideMark/>
          </w:tcPr>
          <w:p w:rsidR="00C60A0B" w:rsidRPr="00A707FB" w:rsidRDefault="00C60A0B" w:rsidP="00A707FB">
            <w:pPr>
              <w:rPr>
                <w:rFonts w:ascii="Arial" w:hAnsi="Arial" w:cs="Arial"/>
                <w:color w:val="264A60"/>
                <w:sz w:val="18"/>
                <w:szCs w:val="18"/>
                <w:lang w:eastAsia="cs-CZ"/>
              </w:rPr>
            </w:pPr>
            <w:r w:rsidRPr="00A707FB">
              <w:rPr>
                <w:rFonts w:ascii="Arial" w:hAnsi="Arial" w:cs="Arial"/>
                <w:color w:val="264A60"/>
                <w:sz w:val="18"/>
                <w:szCs w:val="18"/>
                <w:lang w:eastAsia="cs-CZ"/>
              </w:rPr>
              <w:t xml:space="preserve">Přebytek nutné hotovosti </w:t>
            </w:r>
          </w:p>
        </w:tc>
        <w:tc>
          <w:tcPr>
            <w:tcW w:w="1232" w:type="pct"/>
            <w:tcBorders>
              <w:top w:val="nil"/>
              <w:left w:val="nil"/>
              <w:bottom w:val="single" w:sz="4" w:space="0" w:color="AEAEAE"/>
              <w:right w:val="single" w:sz="4" w:space="0" w:color="E0E0E0"/>
            </w:tcBorders>
            <w:shd w:val="clear" w:color="auto" w:fill="auto"/>
            <w:noWrap/>
            <w:vAlign w:val="center"/>
            <w:hideMark/>
          </w:tcPr>
          <w:p w:rsidR="00C60A0B" w:rsidRPr="00A707FB" w:rsidRDefault="00C60A0B" w:rsidP="00A707FB">
            <w:pPr>
              <w:rPr>
                <w:rFonts w:ascii="Arial" w:hAnsi="Arial" w:cs="Arial"/>
                <w:color w:val="010205"/>
                <w:sz w:val="18"/>
                <w:szCs w:val="18"/>
                <w:lang w:eastAsia="cs-CZ"/>
              </w:rPr>
            </w:pPr>
            <w:r w:rsidRPr="00A707FB">
              <w:rPr>
                <w:rFonts w:ascii="Arial" w:hAnsi="Arial" w:cs="Arial"/>
                <w:color w:val="010205"/>
                <w:sz w:val="18"/>
                <w:szCs w:val="18"/>
                <w:lang w:eastAsia="cs-CZ"/>
              </w:rPr>
              <w:t>14</w:t>
            </w:r>
          </w:p>
        </w:tc>
        <w:tc>
          <w:tcPr>
            <w:tcW w:w="1231" w:type="pct"/>
            <w:tcBorders>
              <w:top w:val="nil"/>
              <w:left w:val="nil"/>
              <w:bottom w:val="single" w:sz="4" w:space="0" w:color="AEAEAE"/>
              <w:right w:val="single" w:sz="4" w:space="0" w:color="auto"/>
            </w:tcBorders>
            <w:shd w:val="clear" w:color="auto" w:fill="auto"/>
            <w:noWrap/>
            <w:vAlign w:val="center"/>
            <w:hideMark/>
          </w:tcPr>
          <w:p w:rsidR="00C60A0B" w:rsidRPr="00A707FB" w:rsidRDefault="00C60A0B" w:rsidP="00A707FB">
            <w:pPr>
              <w:rPr>
                <w:rFonts w:ascii="Arial" w:hAnsi="Arial" w:cs="Arial"/>
                <w:color w:val="010205"/>
                <w:sz w:val="18"/>
                <w:szCs w:val="18"/>
                <w:lang w:eastAsia="cs-CZ"/>
              </w:rPr>
            </w:pPr>
            <w:r w:rsidRPr="00A707FB">
              <w:rPr>
                <w:rFonts w:ascii="Arial" w:hAnsi="Arial" w:cs="Arial"/>
                <w:color w:val="010205"/>
                <w:sz w:val="18"/>
                <w:szCs w:val="18"/>
                <w:lang w:eastAsia="cs-CZ"/>
              </w:rPr>
              <w:t>12,4 %</w:t>
            </w:r>
          </w:p>
        </w:tc>
      </w:tr>
      <w:tr w:rsidR="00C60A0B" w:rsidRPr="003A1AA0" w:rsidTr="00C60A0B">
        <w:trPr>
          <w:trHeight w:val="406"/>
        </w:trPr>
        <w:tc>
          <w:tcPr>
            <w:tcW w:w="2537" w:type="pct"/>
            <w:tcBorders>
              <w:top w:val="nil"/>
              <w:left w:val="single" w:sz="4" w:space="0" w:color="auto"/>
              <w:bottom w:val="single" w:sz="4" w:space="0" w:color="AEAEAE"/>
              <w:right w:val="single" w:sz="4" w:space="0" w:color="auto"/>
            </w:tcBorders>
            <w:shd w:val="clear" w:color="000000" w:fill="E0E0E0"/>
            <w:vAlign w:val="center"/>
            <w:hideMark/>
          </w:tcPr>
          <w:p w:rsidR="00C60A0B" w:rsidRPr="00A707FB" w:rsidRDefault="00C60A0B" w:rsidP="00A707FB">
            <w:pPr>
              <w:rPr>
                <w:rFonts w:ascii="Arial" w:hAnsi="Arial" w:cs="Arial"/>
                <w:color w:val="264A60"/>
                <w:sz w:val="18"/>
                <w:szCs w:val="18"/>
                <w:lang w:eastAsia="cs-CZ"/>
              </w:rPr>
            </w:pPr>
            <w:r w:rsidRPr="00A707FB">
              <w:rPr>
                <w:rFonts w:ascii="Arial" w:hAnsi="Arial" w:cs="Arial"/>
                <w:color w:val="264A60"/>
                <w:sz w:val="18"/>
                <w:szCs w:val="18"/>
                <w:lang w:eastAsia="cs-CZ"/>
              </w:rPr>
              <w:t xml:space="preserve">Deficit nutné hotovosti </w:t>
            </w:r>
          </w:p>
        </w:tc>
        <w:tc>
          <w:tcPr>
            <w:tcW w:w="1232" w:type="pct"/>
            <w:tcBorders>
              <w:top w:val="nil"/>
              <w:left w:val="nil"/>
              <w:bottom w:val="single" w:sz="4" w:space="0" w:color="AEAEAE"/>
              <w:right w:val="single" w:sz="4" w:space="0" w:color="E0E0E0"/>
            </w:tcBorders>
            <w:shd w:val="clear" w:color="auto" w:fill="auto"/>
            <w:noWrap/>
            <w:vAlign w:val="center"/>
            <w:hideMark/>
          </w:tcPr>
          <w:p w:rsidR="00C60A0B" w:rsidRPr="00A707FB" w:rsidRDefault="00C60A0B" w:rsidP="00A707FB">
            <w:pPr>
              <w:rPr>
                <w:rFonts w:ascii="Arial" w:hAnsi="Arial" w:cs="Arial"/>
                <w:color w:val="010205"/>
                <w:sz w:val="18"/>
                <w:szCs w:val="18"/>
                <w:lang w:eastAsia="cs-CZ"/>
              </w:rPr>
            </w:pPr>
            <w:r w:rsidRPr="00A707FB">
              <w:rPr>
                <w:rFonts w:ascii="Arial" w:hAnsi="Arial" w:cs="Arial"/>
                <w:color w:val="010205"/>
                <w:sz w:val="18"/>
                <w:szCs w:val="18"/>
                <w:lang w:eastAsia="cs-CZ"/>
              </w:rPr>
              <w:t>99</w:t>
            </w:r>
          </w:p>
        </w:tc>
        <w:tc>
          <w:tcPr>
            <w:tcW w:w="1231" w:type="pct"/>
            <w:tcBorders>
              <w:top w:val="nil"/>
              <w:left w:val="nil"/>
              <w:bottom w:val="single" w:sz="4" w:space="0" w:color="AEAEAE"/>
              <w:right w:val="single" w:sz="4" w:space="0" w:color="auto"/>
            </w:tcBorders>
            <w:shd w:val="clear" w:color="auto" w:fill="auto"/>
            <w:noWrap/>
            <w:vAlign w:val="center"/>
            <w:hideMark/>
          </w:tcPr>
          <w:p w:rsidR="00C60A0B" w:rsidRPr="00A707FB" w:rsidRDefault="00C60A0B" w:rsidP="00A707FB">
            <w:pPr>
              <w:rPr>
                <w:rFonts w:ascii="Arial" w:hAnsi="Arial" w:cs="Arial"/>
                <w:color w:val="010205"/>
                <w:sz w:val="18"/>
                <w:szCs w:val="18"/>
                <w:lang w:eastAsia="cs-CZ"/>
              </w:rPr>
            </w:pPr>
            <w:r w:rsidRPr="00A707FB">
              <w:rPr>
                <w:rFonts w:ascii="Arial" w:hAnsi="Arial" w:cs="Arial"/>
                <w:color w:val="010205"/>
                <w:sz w:val="18"/>
                <w:szCs w:val="18"/>
                <w:lang w:eastAsia="cs-CZ"/>
              </w:rPr>
              <w:t>87,6 %</w:t>
            </w:r>
          </w:p>
        </w:tc>
      </w:tr>
      <w:tr w:rsidR="00C60A0B" w:rsidRPr="003A1AA0" w:rsidTr="00C60A0B">
        <w:trPr>
          <w:trHeight w:val="461"/>
        </w:trPr>
        <w:tc>
          <w:tcPr>
            <w:tcW w:w="2537" w:type="pct"/>
            <w:tcBorders>
              <w:top w:val="nil"/>
              <w:left w:val="single" w:sz="4" w:space="0" w:color="auto"/>
              <w:bottom w:val="single" w:sz="4" w:space="0" w:color="auto"/>
              <w:right w:val="single" w:sz="4" w:space="0" w:color="auto"/>
            </w:tcBorders>
            <w:shd w:val="clear" w:color="000000" w:fill="E0E0E0"/>
            <w:vAlign w:val="center"/>
            <w:hideMark/>
          </w:tcPr>
          <w:p w:rsidR="00C60A0B" w:rsidRPr="00A707FB" w:rsidRDefault="00C60A0B" w:rsidP="00A707FB">
            <w:pPr>
              <w:rPr>
                <w:rFonts w:ascii="Arial" w:hAnsi="Arial" w:cs="Arial"/>
                <w:color w:val="264A60"/>
                <w:sz w:val="18"/>
                <w:szCs w:val="18"/>
                <w:lang w:eastAsia="cs-CZ"/>
              </w:rPr>
            </w:pPr>
            <w:r w:rsidRPr="00A707FB">
              <w:rPr>
                <w:rFonts w:ascii="Arial" w:hAnsi="Arial" w:cs="Arial"/>
                <w:color w:val="264A60"/>
                <w:sz w:val="18"/>
                <w:szCs w:val="18"/>
                <w:lang w:eastAsia="cs-CZ"/>
              </w:rPr>
              <w:t>Celkem</w:t>
            </w:r>
          </w:p>
        </w:tc>
        <w:tc>
          <w:tcPr>
            <w:tcW w:w="1232" w:type="pct"/>
            <w:tcBorders>
              <w:top w:val="nil"/>
              <w:left w:val="nil"/>
              <w:bottom w:val="single" w:sz="4" w:space="0" w:color="auto"/>
              <w:right w:val="single" w:sz="4" w:space="0" w:color="E0E0E0"/>
            </w:tcBorders>
            <w:shd w:val="clear" w:color="auto" w:fill="auto"/>
            <w:noWrap/>
            <w:vAlign w:val="center"/>
            <w:hideMark/>
          </w:tcPr>
          <w:p w:rsidR="00C60A0B" w:rsidRPr="00A707FB" w:rsidRDefault="00C60A0B" w:rsidP="00A707FB">
            <w:pPr>
              <w:rPr>
                <w:rFonts w:ascii="Arial" w:hAnsi="Arial" w:cs="Arial"/>
                <w:color w:val="010205"/>
                <w:sz w:val="18"/>
                <w:szCs w:val="18"/>
                <w:lang w:eastAsia="cs-CZ"/>
              </w:rPr>
            </w:pPr>
            <w:r w:rsidRPr="00A707FB">
              <w:rPr>
                <w:rFonts w:ascii="Arial" w:hAnsi="Arial" w:cs="Arial"/>
                <w:color w:val="010205"/>
                <w:sz w:val="18"/>
                <w:szCs w:val="18"/>
                <w:lang w:eastAsia="cs-CZ"/>
              </w:rPr>
              <w:t>113</w:t>
            </w:r>
          </w:p>
        </w:tc>
        <w:tc>
          <w:tcPr>
            <w:tcW w:w="1231" w:type="pct"/>
            <w:tcBorders>
              <w:top w:val="nil"/>
              <w:left w:val="nil"/>
              <w:bottom w:val="single" w:sz="4" w:space="0" w:color="auto"/>
              <w:right w:val="single" w:sz="4" w:space="0" w:color="auto"/>
            </w:tcBorders>
            <w:shd w:val="clear" w:color="auto" w:fill="auto"/>
            <w:noWrap/>
            <w:vAlign w:val="center"/>
            <w:hideMark/>
          </w:tcPr>
          <w:p w:rsidR="00C60A0B" w:rsidRPr="00A707FB" w:rsidRDefault="00C60A0B" w:rsidP="00A707FB">
            <w:pPr>
              <w:rPr>
                <w:rFonts w:ascii="Arial" w:hAnsi="Arial" w:cs="Arial"/>
                <w:color w:val="010205"/>
                <w:sz w:val="18"/>
                <w:szCs w:val="18"/>
                <w:lang w:eastAsia="cs-CZ"/>
              </w:rPr>
            </w:pPr>
            <w:r w:rsidRPr="00A707FB">
              <w:rPr>
                <w:rFonts w:ascii="Arial" w:hAnsi="Arial" w:cs="Arial"/>
                <w:color w:val="010205"/>
                <w:sz w:val="18"/>
                <w:szCs w:val="18"/>
                <w:lang w:eastAsia="cs-CZ"/>
              </w:rPr>
              <w:t>100,0 %</w:t>
            </w:r>
          </w:p>
        </w:tc>
      </w:tr>
    </w:tbl>
    <w:p w:rsidR="00E32B04" w:rsidRDefault="00E32B04" w:rsidP="00C60A0B"/>
    <w:p w:rsidR="00C60A0B" w:rsidRDefault="00C60A0B" w:rsidP="00C60A0B">
      <w:r>
        <w:t xml:space="preserve">Jak plyne z analýzy rozšířeného datového souboru, nadále naprostá většina podniků vykazovala deficit nutné hotovosti, tedy jejich okamžitá (peněžní) likvidita nedosahovala požadované úrovně 15 %. </w:t>
      </w:r>
      <w:r w:rsidRPr="009E2415">
        <w:rPr>
          <w:b/>
        </w:rPr>
        <w:t>To indikuje u naprosté většiny podniků potenciální problémy s platební schopností</w:t>
      </w:r>
      <w:r>
        <w:t>.</w:t>
      </w:r>
    </w:p>
    <w:p w:rsidR="00C60A0B" w:rsidRDefault="00C60A0B" w:rsidP="00C60A0B">
      <w:r w:rsidRPr="00C242E5">
        <w:t>Následující analýza pomocí poměru šancí ukazuje, kolikrát se zvýší šance přechodu do deficitu nutné hotovosti při přechodu vysvětlující proměnné do záporné hodnoty. Z modelu logistické regrese lze pak rovněž identifikovat statistickou významnost vlivu jednotlivých vysvětlujících proměnných, a to pomocí Waldovy statistiky.</w:t>
      </w:r>
    </w:p>
    <w:p w:rsidR="00E76418" w:rsidRPr="00C242E5" w:rsidRDefault="00E76418" w:rsidP="00C60A0B"/>
    <w:p w:rsidR="00C60A0B" w:rsidRDefault="00C60A0B" w:rsidP="00C60A0B">
      <w:pPr>
        <w:pStyle w:val="Titulek"/>
      </w:pPr>
      <w:bookmarkStart w:id="74" w:name="_Ref9020087"/>
      <w:bookmarkStart w:id="75" w:name="_Ref7956282"/>
      <w:bookmarkStart w:id="76" w:name="_Toc31054802"/>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26</w:t>
      </w:r>
      <w:r w:rsidR="00163A91">
        <w:rPr>
          <w:noProof/>
        </w:rPr>
        <w:fldChar w:fldCharType="end"/>
      </w:r>
      <w:bookmarkEnd w:id="74"/>
      <w:r>
        <w:t xml:space="preserve"> – Relativní četnosti polarity nutné hotovosti a ostatních ukazatelů</w:t>
      </w:r>
      <w:bookmarkEnd w:id="75"/>
      <w:bookmarkEnd w:id="76"/>
    </w:p>
    <w:tbl>
      <w:tblPr>
        <w:tblW w:w="5000" w:type="pct"/>
        <w:tblCellMar>
          <w:left w:w="70" w:type="dxa"/>
          <w:right w:w="70" w:type="dxa"/>
        </w:tblCellMar>
        <w:tblLook w:val="04A0"/>
      </w:tblPr>
      <w:tblGrid>
        <w:gridCol w:w="3076"/>
        <w:gridCol w:w="3064"/>
        <w:gridCol w:w="1537"/>
        <w:gridCol w:w="1535"/>
      </w:tblGrid>
      <w:tr w:rsidR="00C60A0B" w:rsidRPr="00A707FB" w:rsidTr="00C60A0B">
        <w:trPr>
          <w:trHeight w:val="470"/>
        </w:trPr>
        <w:tc>
          <w:tcPr>
            <w:tcW w:w="1670" w:type="pct"/>
            <w:tcBorders>
              <w:top w:val="single" w:sz="4" w:space="0" w:color="auto"/>
              <w:left w:val="single" w:sz="4" w:space="0" w:color="auto"/>
              <w:bottom w:val="single" w:sz="4" w:space="0" w:color="152935"/>
              <w:right w:val="nil"/>
            </w:tcBorders>
            <w:shd w:val="clear" w:color="auto" w:fill="auto"/>
            <w:vAlign w:val="center"/>
            <w:hideMark/>
          </w:tcPr>
          <w:p w:rsidR="00C60A0B" w:rsidRPr="00A707FB" w:rsidRDefault="00C60A0B" w:rsidP="00A707FB">
            <w:pPr>
              <w:rPr>
                <w:sz w:val="18"/>
                <w:szCs w:val="18"/>
                <w:lang w:eastAsia="cs-CZ"/>
              </w:rPr>
            </w:pPr>
            <w:r w:rsidRPr="00A707FB">
              <w:rPr>
                <w:sz w:val="18"/>
                <w:szCs w:val="18"/>
                <w:lang w:eastAsia="cs-CZ"/>
              </w:rPr>
              <w:t> </w:t>
            </w:r>
          </w:p>
        </w:tc>
        <w:tc>
          <w:tcPr>
            <w:tcW w:w="1663" w:type="pct"/>
            <w:tcBorders>
              <w:top w:val="single" w:sz="4" w:space="0" w:color="auto"/>
              <w:left w:val="nil"/>
              <w:bottom w:val="single" w:sz="4" w:space="0" w:color="152935"/>
              <w:right w:val="nil"/>
            </w:tcBorders>
            <w:shd w:val="clear" w:color="auto" w:fill="auto"/>
            <w:vAlign w:val="center"/>
            <w:hideMark/>
          </w:tcPr>
          <w:p w:rsidR="00C60A0B" w:rsidRPr="00A707FB" w:rsidRDefault="00C60A0B" w:rsidP="00A707FB">
            <w:pPr>
              <w:rPr>
                <w:sz w:val="18"/>
                <w:szCs w:val="18"/>
                <w:lang w:eastAsia="cs-CZ"/>
              </w:rPr>
            </w:pPr>
            <w:r w:rsidRPr="00A707FB">
              <w:rPr>
                <w:sz w:val="18"/>
                <w:szCs w:val="18"/>
                <w:lang w:eastAsia="cs-CZ"/>
              </w:rPr>
              <w:t> </w:t>
            </w:r>
          </w:p>
        </w:tc>
        <w:tc>
          <w:tcPr>
            <w:tcW w:w="834" w:type="pct"/>
            <w:tcBorders>
              <w:top w:val="single" w:sz="4" w:space="0" w:color="auto"/>
              <w:left w:val="nil"/>
              <w:bottom w:val="single" w:sz="4" w:space="0" w:color="152935"/>
              <w:right w:val="nil"/>
            </w:tcBorders>
            <w:shd w:val="clear" w:color="auto" w:fill="auto"/>
            <w:vAlign w:val="center"/>
            <w:hideMark/>
          </w:tcPr>
          <w:p w:rsidR="00C60A0B" w:rsidRPr="00A707FB" w:rsidRDefault="00C60A0B" w:rsidP="00A707FB">
            <w:pPr>
              <w:rPr>
                <w:sz w:val="18"/>
                <w:szCs w:val="18"/>
                <w:lang w:eastAsia="cs-CZ"/>
              </w:rPr>
            </w:pPr>
            <w:r w:rsidRPr="00A707FB">
              <w:rPr>
                <w:sz w:val="18"/>
                <w:szCs w:val="18"/>
                <w:lang w:eastAsia="cs-CZ"/>
              </w:rPr>
              <w:t xml:space="preserve">Přebytek nutné hotovosti </w:t>
            </w:r>
          </w:p>
        </w:tc>
        <w:tc>
          <w:tcPr>
            <w:tcW w:w="834" w:type="pct"/>
            <w:tcBorders>
              <w:top w:val="single" w:sz="4" w:space="0" w:color="auto"/>
              <w:left w:val="single" w:sz="4" w:space="0" w:color="E0E0E0"/>
              <w:bottom w:val="single" w:sz="4" w:space="0" w:color="152935"/>
              <w:right w:val="single" w:sz="4" w:space="0" w:color="auto"/>
            </w:tcBorders>
            <w:shd w:val="clear" w:color="auto" w:fill="auto"/>
            <w:vAlign w:val="center"/>
            <w:hideMark/>
          </w:tcPr>
          <w:p w:rsidR="00C60A0B" w:rsidRPr="00A707FB" w:rsidRDefault="00C60A0B" w:rsidP="00A707FB">
            <w:pPr>
              <w:rPr>
                <w:sz w:val="18"/>
                <w:szCs w:val="18"/>
                <w:lang w:eastAsia="cs-CZ"/>
              </w:rPr>
            </w:pPr>
            <w:r w:rsidRPr="00A707FB">
              <w:rPr>
                <w:sz w:val="18"/>
                <w:szCs w:val="18"/>
                <w:lang w:eastAsia="cs-CZ"/>
              </w:rPr>
              <w:t xml:space="preserve">Deficit nutné hotovosti </w:t>
            </w:r>
          </w:p>
        </w:tc>
      </w:tr>
      <w:tr w:rsidR="00C60A0B" w:rsidRPr="00A707FB" w:rsidTr="00C60A0B">
        <w:trPr>
          <w:trHeight w:val="349"/>
        </w:trPr>
        <w:tc>
          <w:tcPr>
            <w:tcW w:w="1670" w:type="pct"/>
            <w:vMerge w:val="restart"/>
            <w:tcBorders>
              <w:top w:val="nil"/>
              <w:left w:val="single" w:sz="4" w:space="0" w:color="auto"/>
              <w:bottom w:val="single" w:sz="4" w:space="0" w:color="AEAEAE"/>
              <w:right w:val="nil"/>
            </w:tcBorders>
            <w:shd w:val="clear" w:color="000000" w:fill="E0E0E0"/>
            <w:vAlign w:val="center"/>
            <w:hideMark/>
          </w:tcPr>
          <w:p w:rsidR="00C60A0B" w:rsidRPr="00A707FB" w:rsidRDefault="00C60A0B" w:rsidP="00A707FB">
            <w:pPr>
              <w:rPr>
                <w:sz w:val="18"/>
                <w:szCs w:val="18"/>
                <w:lang w:eastAsia="cs-CZ"/>
              </w:rPr>
            </w:pPr>
            <w:r w:rsidRPr="00A707FB">
              <w:rPr>
                <w:sz w:val="18"/>
                <w:szCs w:val="18"/>
                <w:lang w:eastAsia="cs-CZ"/>
              </w:rPr>
              <w:t>Polarita primární EBITDA</w:t>
            </w:r>
          </w:p>
        </w:tc>
        <w:tc>
          <w:tcPr>
            <w:tcW w:w="1663" w:type="pct"/>
            <w:tcBorders>
              <w:top w:val="nil"/>
              <w:left w:val="nil"/>
              <w:bottom w:val="single" w:sz="4" w:space="0" w:color="AEAEAE"/>
              <w:right w:val="nil"/>
            </w:tcBorders>
            <w:shd w:val="clear" w:color="000000" w:fill="E0E0E0"/>
            <w:vAlign w:val="center"/>
            <w:hideMark/>
          </w:tcPr>
          <w:p w:rsidR="00C60A0B" w:rsidRPr="00A707FB" w:rsidRDefault="00C60A0B" w:rsidP="00A707FB">
            <w:pPr>
              <w:rPr>
                <w:sz w:val="18"/>
                <w:szCs w:val="18"/>
                <w:lang w:eastAsia="cs-CZ"/>
              </w:rPr>
            </w:pPr>
            <w:r w:rsidRPr="00A707FB">
              <w:rPr>
                <w:sz w:val="18"/>
                <w:szCs w:val="18"/>
                <w:lang w:eastAsia="cs-CZ"/>
              </w:rPr>
              <w:t>Kladná primární EBITDA</w:t>
            </w:r>
          </w:p>
        </w:tc>
        <w:tc>
          <w:tcPr>
            <w:tcW w:w="834" w:type="pct"/>
            <w:tcBorders>
              <w:top w:val="nil"/>
              <w:left w:val="nil"/>
              <w:bottom w:val="single" w:sz="4" w:space="0" w:color="AEAEAE"/>
              <w:right w:val="nil"/>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20,4 %</w:t>
            </w:r>
          </w:p>
        </w:tc>
        <w:tc>
          <w:tcPr>
            <w:tcW w:w="834" w:type="pct"/>
            <w:tcBorders>
              <w:top w:val="nil"/>
              <w:left w:val="single" w:sz="4" w:space="0" w:color="E0E0E0"/>
              <w:bottom w:val="single" w:sz="4" w:space="0" w:color="AEAEAE"/>
              <w:right w:val="single" w:sz="4" w:space="0" w:color="auto"/>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79, 6 %</w:t>
            </w:r>
          </w:p>
        </w:tc>
      </w:tr>
      <w:tr w:rsidR="00C60A0B" w:rsidRPr="00A707FB" w:rsidTr="00C60A0B">
        <w:trPr>
          <w:trHeight w:val="349"/>
        </w:trPr>
        <w:tc>
          <w:tcPr>
            <w:tcW w:w="1670" w:type="pct"/>
            <w:vMerge/>
            <w:tcBorders>
              <w:top w:val="nil"/>
              <w:left w:val="single" w:sz="4" w:space="0" w:color="auto"/>
              <w:bottom w:val="single" w:sz="4" w:space="0" w:color="AEAEAE"/>
              <w:right w:val="nil"/>
            </w:tcBorders>
            <w:vAlign w:val="center"/>
            <w:hideMark/>
          </w:tcPr>
          <w:p w:rsidR="00C60A0B" w:rsidRPr="00A707FB" w:rsidRDefault="00C60A0B" w:rsidP="00A707FB">
            <w:pPr>
              <w:rPr>
                <w:sz w:val="18"/>
                <w:szCs w:val="18"/>
                <w:lang w:eastAsia="cs-CZ"/>
              </w:rPr>
            </w:pPr>
          </w:p>
        </w:tc>
        <w:tc>
          <w:tcPr>
            <w:tcW w:w="1663" w:type="pct"/>
            <w:tcBorders>
              <w:top w:val="nil"/>
              <w:left w:val="nil"/>
              <w:bottom w:val="single" w:sz="4" w:space="0" w:color="AEAEAE"/>
              <w:right w:val="nil"/>
            </w:tcBorders>
            <w:shd w:val="clear" w:color="000000" w:fill="E0E0E0"/>
            <w:vAlign w:val="center"/>
            <w:hideMark/>
          </w:tcPr>
          <w:p w:rsidR="00C60A0B" w:rsidRPr="00A707FB" w:rsidRDefault="00C60A0B" w:rsidP="00A707FB">
            <w:pPr>
              <w:rPr>
                <w:sz w:val="18"/>
                <w:szCs w:val="18"/>
                <w:lang w:eastAsia="cs-CZ"/>
              </w:rPr>
            </w:pPr>
            <w:r w:rsidRPr="00A707FB">
              <w:rPr>
                <w:sz w:val="18"/>
                <w:szCs w:val="18"/>
                <w:lang w:eastAsia="cs-CZ"/>
              </w:rPr>
              <w:t>Záporná primární EBITDA</w:t>
            </w:r>
          </w:p>
        </w:tc>
        <w:tc>
          <w:tcPr>
            <w:tcW w:w="834" w:type="pct"/>
            <w:tcBorders>
              <w:top w:val="nil"/>
              <w:left w:val="nil"/>
              <w:bottom w:val="single" w:sz="4" w:space="0" w:color="AEAEAE"/>
              <w:right w:val="nil"/>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6,3 %</w:t>
            </w:r>
          </w:p>
        </w:tc>
        <w:tc>
          <w:tcPr>
            <w:tcW w:w="834" w:type="pct"/>
            <w:tcBorders>
              <w:top w:val="nil"/>
              <w:left w:val="single" w:sz="4" w:space="0" w:color="E0E0E0"/>
              <w:bottom w:val="single" w:sz="4" w:space="0" w:color="AEAEAE"/>
              <w:right w:val="single" w:sz="4" w:space="0" w:color="auto"/>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93, 8 %</w:t>
            </w:r>
          </w:p>
        </w:tc>
      </w:tr>
      <w:tr w:rsidR="00C60A0B" w:rsidRPr="00A707FB" w:rsidTr="00C60A0B">
        <w:trPr>
          <w:trHeight w:val="415"/>
        </w:trPr>
        <w:tc>
          <w:tcPr>
            <w:tcW w:w="1670" w:type="pct"/>
            <w:vMerge w:val="restart"/>
            <w:tcBorders>
              <w:top w:val="nil"/>
              <w:left w:val="single" w:sz="4" w:space="0" w:color="auto"/>
              <w:bottom w:val="single" w:sz="4" w:space="0" w:color="AEAEAE"/>
              <w:right w:val="nil"/>
            </w:tcBorders>
            <w:shd w:val="clear" w:color="000000" w:fill="E0E0E0"/>
            <w:vAlign w:val="center"/>
            <w:hideMark/>
          </w:tcPr>
          <w:p w:rsidR="00C60A0B" w:rsidRPr="00A707FB" w:rsidRDefault="00C60A0B" w:rsidP="00A707FB">
            <w:pPr>
              <w:rPr>
                <w:sz w:val="18"/>
                <w:szCs w:val="18"/>
                <w:lang w:eastAsia="cs-CZ"/>
              </w:rPr>
            </w:pPr>
            <w:r w:rsidRPr="00A707FB">
              <w:rPr>
                <w:sz w:val="18"/>
                <w:szCs w:val="18"/>
                <w:lang w:eastAsia="cs-CZ"/>
              </w:rPr>
              <w:t>Polarita salda primárních NSPK</w:t>
            </w:r>
          </w:p>
        </w:tc>
        <w:tc>
          <w:tcPr>
            <w:tcW w:w="1663" w:type="pct"/>
            <w:tcBorders>
              <w:top w:val="nil"/>
              <w:left w:val="nil"/>
              <w:bottom w:val="single" w:sz="4" w:space="0" w:color="AEAEAE"/>
              <w:right w:val="nil"/>
            </w:tcBorders>
            <w:shd w:val="clear" w:color="000000" w:fill="E0E0E0"/>
            <w:vAlign w:val="center"/>
            <w:hideMark/>
          </w:tcPr>
          <w:p w:rsidR="00C60A0B" w:rsidRPr="00A707FB" w:rsidRDefault="00C60A0B" w:rsidP="00A707FB">
            <w:pPr>
              <w:rPr>
                <w:sz w:val="18"/>
                <w:szCs w:val="18"/>
                <w:lang w:eastAsia="cs-CZ"/>
              </w:rPr>
            </w:pPr>
            <w:r w:rsidRPr="00A707FB">
              <w:rPr>
                <w:sz w:val="18"/>
                <w:szCs w:val="18"/>
                <w:lang w:eastAsia="cs-CZ"/>
              </w:rPr>
              <w:t>Kladné saldo primárních NSPK</w:t>
            </w:r>
          </w:p>
        </w:tc>
        <w:tc>
          <w:tcPr>
            <w:tcW w:w="834" w:type="pct"/>
            <w:tcBorders>
              <w:top w:val="nil"/>
              <w:left w:val="nil"/>
              <w:bottom w:val="single" w:sz="4" w:space="0" w:color="AEAEAE"/>
              <w:right w:val="nil"/>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17,2 %</w:t>
            </w:r>
          </w:p>
        </w:tc>
        <w:tc>
          <w:tcPr>
            <w:tcW w:w="834" w:type="pct"/>
            <w:tcBorders>
              <w:top w:val="nil"/>
              <w:left w:val="single" w:sz="4" w:space="0" w:color="E0E0E0"/>
              <w:bottom w:val="single" w:sz="4" w:space="0" w:color="AEAEAE"/>
              <w:right w:val="single" w:sz="4" w:space="0" w:color="auto"/>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82, 8 %</w:t>
            </w:r>
          </w:p>
        </w:tc>
      </w:tr>
      <w:tr w:rsidR="00C60A0B" w:rsidRPr="00A707FB" w:rsidTr="00C60A0B">
        <w:trPr>
          <w:trHeight w:val="421"/>
        </w:trPr>
        <w:tc>
          <w:tcPr>
            <w:tcW w:w="1670" w:type="pct"/>
            <w:vMerge/>
            <w:tcBorders>
              <w:top w:val="nil"/>
              <w:left w:val="single" w:sz="4" w:space="0" w:color="auto"/>
              <w:bottom w:val="single" w:sz="4" w:space="0" w:color="AEAEAE"/>
              <w:right w:val="nil"/>
            </w:tcBorders>
            <w:vAlign w:val="center"/>
            <w:hideMark/>
          </w:tcPr>
          <w:p w:rsidR="00C60A0B" w:rsidRPr="00A707FB" w:rsidRDefault="00C60A0B" w:rsidP="00A707FB">
            <w:pPr>
              <w:rPr>
                <w:sz w:val="18"/>
                <w:szCs w:val="18"/>
                <w:lang w:eastAsia="cs-CZ"/>
              </w:rPr>
            </w:pPr>
          </w:p>
        </w:tc>
        <w:tc>
          <w:tcPr>
            <w:tcW w:w="1663" w:type="pct"/>
            <w:tcBorders>
              <w:top w:val="nil"/>
              <w:left w:val="nil"/>
              <w:bottom w:val="single" w:sz="4" w:space="0" w:color="AEAEAE"/>
              <w:right w:val="nil"/>
            </w:tcBorders>
            <w:shd w:val="clear" w:color="000000" w:fill="E0E0E0"/>
            <w:vAlign w:val="center"/>
            <w:hideMark/>
          </w:tcPr>
          <w:p w:rsidR="00C60A0B" w:rsidRPr="00A707FB" w:rsidRDefault="00C60A0B" w:rsidP="00A707FB">
            <w:pPr>
              <w:rPr>
                <w:sz w:val="18"/>
                <w:szCs w:val="18"/>
                <w:lang w:eastAsia="cs-CZ"/>
              </w:rPr>
            </w:pPr>
            <w:r w:rsidRPr="00A707FB">
              <w:rPr>
                <w:sz w:val="18"/>
                <w:szCs w:val="18"/>
                <w:lang w:eastAsia="cs-CZ"/>
              </w:rPr>
              <w:t>Záporné saldo primárních NSPK</w:t>
            </w:r>
          </w:p>
        </w:tc>
        <w:tc>
          <w:tcPr>
            <w:tcW w:w="834" w:type="pct"/>
            <w:tcBorders>
              <w:top w:val="nil"/>
              <w:left w:val="nil"/>
              <w:bottom w:val="single" w:sz="4" w:space="0" w:color="AEAEAE"/>
              <w:right w:val="nil"/>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6,1 %</w:t>
            </w:r>
          </w:p>
        </w:tc>
        <w:tc>
          <w:tcPr>
            <w:tcW w:w="834" w:type="pct"/>
            <w:tcBorders>
              <w:top w:val="nil"/>
              <w:left w:val="single" w:sz="4" w:space="0" w:color="E0E0E0"/>
              <w:bottom w:val="single" w:sz="4" w:space="0" w:color="AEAEAE"/>
              <w:right w:val="single" w:sz="4" w:space="0" w:color="auto"/>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93, 9 %</w:t>
            </w:r>
          </w:p>
        </w:tc>
      </w:tr>
      <w:tr w:rsidR="00C60A0B" w:rsidRPr="00A707FB" w:rsidTr="00C60A0B">
        <w:trPr>
          <w:trHeight w:val="349"/>
        </w:trPr>
        <w:tc>
          <w:tcPr>
            <w:tcW w:w="1670" w:type="pct"/>
            <w:vMerge w:val="restart"/>
            <w:tcBorders>
              <w:top w:val="nil"/>
              <w:left w:val="single" w:sz="4" w:space="0" w:color="auto"/>
              <w:bottom w:val="single" w:sz="4" w:space="0" w:color="000000"/>
              <w:right w:val="nil"/>
            </w:tcBorders>
            <w:shd w:val="clear" w:color="000000" w:fill="E0E0E0"/>
            <w:vAlign w:val="center"/>
            <w:hideMark/>
          </w:tcPr>
          <w:p w:rsidR="00C60A0B" w:rsidRPr="00A707FB" w:rsidRDefault="00C60A0B" w:rsidP="00A707FB">
            <w:pPr>
              <w:rPr>
                <w:sz w:val="18"/>
                <w:szCs w:val="18"/>
                <w:lang w:eastAsia="cs-CZ"/>
              </w:rPr>
            </w:pPr>
            <w:r w:rsidRPr="00A707FB">
              <w:rPr>
                <w:sz w:val="18"/>
                <w:szCs w:val="18"/>
                <w:lang w:eastAsia="cs-CZ"/>
              </w:rPr>
              <w:t>Polarita vlastního kapitálu</w:t>
            </w:r>
          </w:p>
        </w:tc>
        <w:tc>
          <w:tcPr>
            <w:tcW w:w="1663" w:type="pct"/>
            <w:tcBorders>
              <w:top w:val="nil"/>
              <w:left w:val="nil"/>
              <w:bottom w:val="single" w:sz="4" w:space="0" w:color="AEAEAE"/>
              <w:right w:val="nil"/>
            </w:tcBorders>
            <w:shd w:val="clear" w:color="000000" w:fill="E0E0E0"/>
            <w:vAlign w:val="center"/>
            <w:hideMark/>
          </w:tcPr>
          <w:p w:rsidR="00C60A0B" w:rsidRPr="00A707FB" w:rsidRDefault="00C60A0B" w:rsidP="00A707FB">
            <w:pPr>
              <w:rPr>
                <w:sz w:val="18"/>
                <w:szCs w:val="18"/>
                <w:lang w:eastAsia="cs-CZ"/>
              </w:rPr>
            </w:pPr>
            <w:r w:rsidRPr="00A707FB">
              <w:rPr>
                <w:sz w:val="18"/>
                <w:szCs w:val="18"/>
                <w:lang w:eastAsia="cs-CZ"/>
              </w:rPr>
              <w:t>Kladný vlastní kapitál</w:t>
            </w:r>
          </w:p>
        </w:tc>
        <w:tc>
          <w:tcPr>
            <w:tcW w:w="834" w:type="pct"/>
            <w:tcBorders>
              <w:top w:val="nil"/>
              <w:left w:val="nil"/>
              <w:bottom w:val="single" w:sz="4" w:space="0" w:color="AEAEAE"/>
              <w:right w:val="nil"/>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13,2 %</w:t>
            </w:r>
          </w:p>
        </w:tc>
        <w:tc>
          <w:tcPr>
            <w:tcW w:w="834" w:type="pct"/>
            <w:tcBorders>
              <w:top w:val="nil"/>
              <w:left w:val="single" w:sz="4" w:space="0" w:color="E0E0E0"/>
              <w:bottom w:val="single" w:sz="4" w:space="0" w:color="AEAEAE"/>
              <w:right w:val="single" w:sz="4" w:space="0" w:color="auto"/>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86, 8 %</w:t>
            </w:r>
          </w:p>
        </w:tc>
      </w:tr>
      <w:tr w:rsidR="00C60A0B" w:rsidRPr="00A707FB" w:rsidTr="00C60A0B">
        <w:trPr>
          <w:trHeight w:val="349"/>
        </w:trPr>
        <w:tc>
          <w:tcPr>
            <w:tcW w:w="1670" w:type="pct"/>
            <w:vMerge/>
            <w:tcBorders>
              <w:top w:val="nil"/>
              <w:left w:val="single" w:sz="4" w:space="0" w:color="auto"/>
              <w:bottom w:val="single" w:sz="4" w:space="0" w:color="000000"/>
              <w:right w:val="nil"/>
            </w:tcBorders>
            <w:vAlign w:val="center"/>
            <w:hideMark/>
          </w:tcPr>
          <w:p w:rsidR="00C60A0B" w:rsidRPr="00A707FB" w:rsidRDefault="00C60A0B" w:rsidP="00A707FB">
            <w:pPr>
              <w:rPr>
                <w:sz w:val="18"/>
                <w:szCs w:val="18"/>
                <w:lang w:eastAsia="cs-CZ"/>
              </w:rPr>
            </w:pPr>
          </w:p>
        </w:tc>
        <w:tc>
          <w:tcPr>
            <w:tcW w:w="1663" w:type="pct"/>
            <w:tcBorders>
              <w:top w:val="nil"/>
              <w:left w:val="nil"/>
              <w:bottom w:val="single" w:sz="4" w:space="0" w:color="auto"/>
              <w:right w:val="nil"/>
            </w:tcBorders>
            <w:shd w:val="clear" w:color="000000" w:fill="E0E0E0"/>
            <w:vAlign w:val="center"/>
            <w:hideMark/>
          </w:tcPr>
          <w:p w:rsidR="00C60A0B" w:rsidRPr="00A707FB" w:rsidRDefault="00C60A0B" w:rsidP="00A707FB">
            <w:pPr>
              <w:rPr>
                <w:sz w:val="18"/>
                <w:szCs w:val="18"/>
                <w:lang w:eastAsia="cs-CZ"/>
              </w:rPr>
            </w:pPr>
            <w:r w:rsidRPr="00A707FB">
              <w:rPr>
                <w:sz w:val="18"/>
                <w:szCs w:val="18"/>
                <w:lang w:eastAsia="cs-CZ"/>
              </w:rPr>
              <w:t>Záporný vlastní kapitál</w:t>
            </w:r>
          </w:p>
        </w:tc>
        <w:tc>
          <w:tcPr>
            <w:tcW w:w="834" w:type="pct"/>
            <w:tcBorders>
              <w:top w:val="nil"/>
              <w:left w:val="nil"/>
              <w:bottom w:val="single" w:sz="4" w:space="0" w:color="auto"/>
              <w:right w:val="nil"/>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10,8 %</w:t>
            </w:r>
          </w:p>
        </w:tc>
        <w:tc>
          <w:tcPr>
            <w:tcW w:w="834" w:type="pct"/>
            <w:tcBorders>
              <w:top w:val="nil"/>
              <w:left w:val="single" w:sz="4" w:space="0" w:color="E0E0E0"/>
              <w:bottom w:val="single" w:sz="4" w:space="0" w:color="auto"/>
              <w:right w:val="single" w:sz="4" w:space="0" w:color="auto"/>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89, 2 %</w:t>
            </w:r>
          </w:p>
        </w:tc>
      </w:tr>
    </w:tbl>
    <w:p w:rsidR="00E76418" w:rsidRDefault="00E76418" w:rsidP="00C60A0B"/>
    <w:p w:rsidR="00C60A0B" w:rsidRPr="00C242E5" w:rsidRDefault="00C60A0B" w:rsidP="00C60A0B">
      <w:r w:rsidRPr="00C242E5">
        <w:t xml:space="preserve">Poměr šancí ve čtyřpolní tabulce je dále stanoven jak pomocí, šancí tak pomocí relativních rizik. </w:t>
      </w:r>
    </w:p>
    <w:p w:rsidR="00C60A0B" w:rsidRDefault="00C60A0B" w:rsidP="00C60A0B">
      <w:pPr>
        <w:rPr>
          <w:color w:val="FF0000"/>
        </w:rPr>
      </w:pPr>
    </w:p>
    <w:p w:rsidR="00E76418" w:rsidRDefault="00E76418" w:rsidP="00C60A0B">
      <w:pPr>
        <w:rPr>
          <w:color w:val="FF0000"/>
        </w:rPr>
      </w:pPr>
    </w:p>
    <w:p w:rsidR="00E76418" w:rsidRDefault="00E76418" w:rsidP="00C60A0B">
      <w:bookmarkStart w:id="77" w:name="_Ref9020148"/>
      <w:bookmarkStart w:id="78" w:name="_Ref8932959"/>
      <w:bookmarkStart w:id="79" w:name="_Ref9009598"/>
    </w:p>
    <w:p w:rsidR="00E76418" w:rsidRDefault="00E76418" w:rsidP="00C60A0B"/>
    <w:p w:rsidR="008619D2" w:rsidRDefault="008619D2" w:rsidP="00C60A0B"/>
    <w:p w:rsidR="008619D2" w:rsidRDefault="008619D2" w:rsidP="008619D2">
      <w:pPr>
        <w:pStyle w:val="Titulek"/>
        <w:keepNext/>
      </w:pPr>
      <w:bookmarkStart w:id="80" w:name="_Toc31054803"/>
      <w:bookmarkEnd w:id="77"/>
      <w:bookmarkEnd w:id="78"/>
      <w:bookmarkEnd w:id="79"/>
      <w:r>
        <w:lastRenderedPageBreak/>
        <w:t xml:space="preserve">Tabulka </w:t>
      </w:r>
      <w:r w:rsidR="00163A91">
        <w:rPr>
          <w:noProof/>
        </w:rPr>
        <w:fldChar w:fldCharType="begin"/>
      </w:r>
      <w:r w:rsidR="00740020">
        <w:rPr>
          <w:noProof/>
        </w:rPr>
        <w:instrText xml:space="preserve"> SEQ Tabulka \* ARABIC </w:instrText>
      </w:r>
      <w:r w:rsidR="00163A91">
        <w:rPr>
          <w:noProof/>
        </w:rPr>
        <w:fldChar w:fldCharType="separate"/>
      </w:r>
      <w:r w:rsidR="007C1EE6">
        <w:rPr>
          <w:noProof/>
        </w:rPr>
        <w:t>27</w:t>
      </w:r>
      <w:r w:rsidR="00163A91">
        <w:rPr>
          <w:noProof/>
        </w:rPr>
        <w:fldChar w:fldCharType="end"/>
      </w:r>
      <w:r>
        <w:t xml:space="preserve"> - Závislost deficitu nutné hotovosti na změně polarity ostatních ukazatelů</w:t>
      </w:r>
      <w:bookmarkEnd w:id="80"/>
    </w:p>
    <w:tbl>
      <w:tblPr>
        <w:tblW w:w="5000" w:type="pct"/>
        <w:tblCellMar>
          <w:left w:w="70" w:type="dxa"/>
          <w:right w:w="70" w:type="dxa"/>
        </w:tblCellMar>
        <w:tblLook w:val="04A0"/>
      </w:tblPr>
      <w:tblGrid>
        <w:gridCol w:w="2652"/>
        <w:gridCol w:w="1336"/>
        <w:gridCol w:w="1336"/>
        <w:gridCol w:w="1336"/>
        <w:gridCol w:w="1336"/>
        <w:gridCol w:w="1216"/>
      </w:tblGrid>
      <w:tr w:rsidR="00C60A0B" w:rsidRPr="00C666C4" w:rsidTr="00C60A0B">
        <w:trPr>
          <w:trHeight w:val="1209"/>
        </w:trPr>
        <w:tc>
          <w:tcPr>
            <w:tcW w:w="1440" w:type="pct"/>
            <w:tcBorders>
              <w:top w:val="single" w:sz="4" w:space="0" w:color="auto"/>
              <w:left w:val="single" w:sz="4" w:space="0" w:color="auto"/>
              <w:bottom w:val="single" w:sz="4" w:space="0" w:color="152935"/>
              <w:right w:val="nil"/>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Ukazatel (vysvětlující proměnná)</w:t>
            </w:r>
          </w:p>
        </w:tc>
        <w:tc>
          <w:tcPr>
            <w:tcW w:w="725" w:type="pct"/>
            <w:tcBorders>
              <w:top w:val="single" w:sz="4" w:space="0" w:color="auto"/>
              <w:left w:val="single" w:sz="4" w:space="0" w:color="auto"/>
              <w:bottom w:val="single" w:sz="4" w:space="0" w:color="152935"/>
              <w:right w:val="nil"/>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Relativní riziko pro přebytek nutné hotovosti</w:t>
            </w:r>
          </w:p>
        </w:tc>
        <w:tc>
          <w:tcPr>
            <w:tcW w:w="725" w:type="pct"/>
            <w:tcBorders>
              <w:top w:val="single" w:sz="4" w:space="0" w:color="auto"/>
              <w:left w:val="nil"/>
              <w:bottom w:val="single" w:sz="4" w:space="0" w:color="152935"/>
              <w:right w:val="single" w:sz="4" w:space="0" w:color="auto"/>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Relativní riziko pro deficit nutné hotovosti</w:t>
            </w:r>
          </w:p>
        </w:tc>
        <w:tc>
          <w:tcPr>
            <w:tcW w:w="725" w:type="pct"/>
            <w:tcBorders>
              <w:top w:val="single" w:sz="4" w:space="0" w:color="auto"/>
              <w:left w:val="nil"/>
              <w:bottom w:val="single" w:sz="4" w:space="0" w:color="152935"/>
              <w:right w:val="nil"/>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Šance pro kladnou hodnotu vysvětlující proměnné</w:t>
            </w:r>
          </w:p>
        </w:tc>
        <w:tc>
          <w:tcPr>
            <w:tcW w:w="725" w:type="pct"/>
            <w:tcBorders>
              <w:top w:val="single" w:sz="4" w:space="0" w:color="auto"/>
              <w:left w:val="nil"/>
              <w:bottom w:val="single" w:sz="4" w:space="0" w:color="152935"/>
              <w:right w:val="single" w:sz="4" w:space="0" w:color="auto"/>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Šance pro zápornou hodnotu vysvětlující proměnné</w:t>
            </w:r>
          </w:p>
        </w:tc>
        <w:tc>
          <w:tcPr>
            <w:tcW w:w="660" w:type="pct"/>
            <w:tcBorders>
              <w:top w:val="single" w:sz="4" w:space="0" w:color="auto"/>
              <w:left w:val="nil"/>
              <w:bottom w:val="single" w:sz="4" w:space="0" w:color="152935"/>
              <w:right w:val="single" w:sz="4" w:space="0" w:color="auto"/>
            </w:tcBorders>
            <w:shd w:val="clear" w:color="auto" w:fill="auto"/>
            <w:vAlign w:val="center"/>
            <w:hideMark/>
          </w:tcPr>
          <w:p w:rsidR="00C60A0B" w:rsidRPr="008619D2" w:rsidRDefault="00C60A0B" w:rsidP="008619D2">
            <w:pPr>
              <w:rPr>
                <w:b/>
                <w:bCs/>
                <w:sz w:val="18"/>
                <w:szCs w:val="18"/>
                <w:lang w:eastAsia="cs-CZ"/>
              </w:rPr>
            </w:pPr>
            <w:r w:rsidRPr="008619D2">
              <w:rPr>
                <w:b/>
                <w:bCs/>
                <w:sz w:val="18"/>
                <w:szCs w:val="18"/>
                <w:lang w:eastAsia="cs-CZ"/>
              </w:rPr>
              <w:t>Poměr šancí</w:t>
            </w:r>
          </w:p>
        </w:tc>
      </w:tr>
      <w:tr w:rsidR="00C60A0B" w:rsidRPr="00C666C4" w:rsidTr="00C60A0B">
        <w:trPr>
          <w:trHeight w:val="483"/>
        </w:trPr>
        <w:tc>
          <w:tcPr>
            <w:tcW w:w="1440" w:type="pct"/>
            <w:tcBorders>
              <w:top w:val="single" w:sz="4" w:space="0" w:color="auto"/>
              <w:left w:val="single" w:sz="4" w:space="0" w:color="auto"/>
              <w:bottom w:val="single" w:sz="4" w:space="0" w:color="AEAEAE"/>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Polarita primární EBITDA</w:t>
            </w:r>
          </w:p>
        </w:tc>
        <w:tc>
          <w:tcPr>
            <w:tcW w:w="725" w:type="pct"/>
            <w:tcBorders>
              <w:top w:val="single" w:sz="4" w:space="0" w:color="auto"/>
              <w:left w:val="single" w:sz="4" w:space="0" w:color="auto"/>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3,265</w:t>
            </w:r>
          </w:p>
        </w:tc>
        <w:tc>
          <w:tcPr>
            <w:tcW w:w="725" w:type="pct"/>
            <w:tcBorders>
              <w:top w:val="single" w:sz="4" w:space="0" w:color="auto"/>
              <w:left w:val="nil"/>
              <w:bottom w:val="single" w:sz="4" w:space="0" w:color="AEAEAE"/>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0,849</w:t>
            </w:r>
          </w:p>
        </w:tc>
        <w:tc>
          <w:tcPr>
            <w:tcW w:w="725" w:type="pct"/>
            <w:tcBorders>
              <w:top w:val="single" w:sz="4" w:space="0" w:color="auto"/>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3,900</w:t>
            </w:r>
          </w:p>
        </w:tc>
        <w:tc>
          <w:tcPr>
            <w:tcW w:w="725" w:type="pct"/>
            <w:tcBorders>
              <w:top w:val="single" w:sz="4" w:space="0" w:color="auto"/>
              <w:left w:val="nil"/>
              <w:bottom w:val="single" w:sz="4" w:space="0" w:color="AEAEAE"/>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15,000</w:t>
            </w:r>
          </w:p>
        </w:tc>
        <w:tc>
          <w:tcPr>
            <w:tcW w:w="660" w:type="pct"/>
            <w:tcBorders>
              <w:top w:val="single" w:sz="4" w:space="0" w:color="auto"/>
              <w:left w:val="nil"/>
              <w:bottom w:val="single" w:sz="4" w:space="0" w:color="AEAEAE"/>
              <w:right w:val="single" w:sz="4" w:space="0" w:color="auto"/>
            </w:tcBorders>
            <w:shd w:val="clear" w:color="auto" w:fill="auto"/>
            <w:noWrap/>
            <w:vAlign w:val="center"/>
            <w:hideMark/>
          </w:tcPr>
          <w:p w:rsidR="00C60A0B" w:rsidRPr="008619D2" w:rsidRDefault="00C60A0B" w:rsidP="008619D2">
            <w:pPr>
              <w:rPr>
                <w:b/>
                <w:bCs/>
                <w:color w:val="010205"/>
                <w:sz w:val="18"/>
                <w:szCs w:val="18"/>
                <w:lang w:eastAsia="cs-CZ"/>
              </w:rPr>
            </w:pPr>
            <w:r w:rsidRPr="008619D2">
              <w:rPr>
                <w:b/>
                <w:bCs/>
                <w:color w:val="010205"/>
                <w:sz w:val="18"/>
                <w:szCs w:val="18"/>
                <w:lang w:eastAsia="cs-CZ"/>
              </w:rPr>
              <w:t>3,846</w:t>
            </w:r>
          </w:p>
        </w:tc>
      </w:tr>
      <w:tr w:rsidR="00C60A0B" w:rsidRPr="00C666C4" w:rsidTr="00C60A0B">
        <w:trPr>
          <w:trHeight w:val="483"/>
        </w:trPr>
        <w:tc>
          <w:tcPr>
            <w:tcW w:w="1440" w:type="pct"/>
            <w:tcBorders>
              <w:top w:val="single" w:sz="4" w:space="0" w:color="auto"/>
              <w:left w:val="single" w:sz="4" w:space="0" w:color="auto"/>
              <w:bottom w:val="single" w:sz="4" w:space="0" w:color="AEAEAE"/>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Polarita salda primárních NSPK</w:t>
            </w:r>
          </w:p>
        </w:tc>
        <w:tc>
          <w:tcPr>
            <w:tcW w:w="725" w:type="pct"/>
            <w:tcBorders>
              <w:top w:val="single" w:sz="4" w:space="0" w:color="auto"/>
              <w:left w:val="single" w:sz="4" w:space="0" w:color="auto"/>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2,807</w:t>
            </w:r>
          </w:p>
        </w:tc>
        <w:tc>
          <w:tcPr>
            <w:tcW w:w="725" w:type="pct"/>
            <w:tcBorders>
              <w:top w:val="single" w:sz="4" w:space="0" w:color="auto"/>
              <w:left w:val="nil"/>
              <w:bottom w:val="single" w:sz="4" w:space="0" w:color="AEAEAE"/>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0,882</w:t>
            </w:r>
          </w:p>
        </w:tc>
        <w:tc>
          <w:tcPr>
            <w:tcW w:w="725" w:type="pct"/>
            <w:tcBorders>
              <w:top w:val="single" w:sz="4" w:space="0" w:color="auto"/>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4,818</w:t>
            </w:r>
          </w:p>
        </w:tc>
        <w:tc>
          <w:tcPr>
            <w:tcW w:w="725" w:type="pct"/>
            <w:tcBorders>
              <w:top w:val="single" w:sz="4" w:space="0" w:color="auto"/>
              <w:left w:val="nil"/>
              <w:bottom w:val="single" w:sz="4" w:space="0" w:color="AEAEAE"/>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15,333</w:t>
            </w:r>
          </w:p>
        </w:tc>
        <w:tc>
          <w:tcPr>
            <w:tcW w:w="660" w:type="pct"/>
            <w:tcBorders>
              <w:top w:val="single" w:sz="4" w:space="0" w:color="auto"/>
              <w:left w:val="nil"/>
              <w:bottom w:val="single" w:sz="4" w:space="0" w:color="AEAEAE"/>
              <w:right w:val="single" w:sz="4" w:space="0" w:color="auto"/>
            </w:tcBorders>
            <w:shd w:val="clear" w:color="auto" w:fill="auto"/>
            <w:noWrap/>
            <w:vAlign w:val="center"/>
            <w:hideMark/>
          </w:tcPr>
          <w:p w:rsidR="00C60A0B" w:rsidRPr="008619D2" w:rsidRDefault="00C60A0B" w:rsidP="008619D2">
            <w:pPr>
              <w:rPr>
                <w:b/>
                <w:bCs/>
                <w:color w:val="010205"/>
                <w:sz w:val="18"/>
                <w:szCs w:val="18"/>
                <w:lang w:eastAsia="cs-CZ"/>
              </w:rPr>
            </w:pPr>
            <w:r w:rsidRPr="008619D2">
              <w:rPr>
                <w:b/>
                <w:bCs/>
                <w:color w:val="010205"/>
                <w:sz w:val="18"/>
                <w:szCs w:val="18"/>
                <w:lang w:eastAsia="cs-CZ"/>
              </w:rPr>
              <w:t>3,182</w:t>
            </w:r>
          </w:p>
        </w:tc>
      </w:tr>
      <w:tr w:rsidR="00C60A0B" w:rsidRPr="00C666C4" w:rsidTr="00C60A0B">
        <w:trPr>
          <w:trHeight w:val="483"/>
        </w:trPr>
        <w:tc>
          <w:tcPr>
            <w:tcW w:w="1440" w:type="pct"/>
            <w:tcBorders>
              <w:top w:val="single" w:sz="4" w:space="0" w:color="auto"/>
              <w:left w:val="single" w:sz="4" w:space="0" w:color="auto"/>
              <w:bottom w:val="single" w:sz="4" w:space="0" w:color="auto"/>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Polarita vlastního kapitálu</w:t>
            </w:r>
          </w:p>
        </w:tc>
        <w:tc>
          <w:tcPr>
            <w:tcW w:w="725" w:type="pct"/>
            <w:tcBorders>
              <w:top w:val="single" w:sz="4" w:space="0" w:color="auto"/>
              <w:left w:val="single" w:sz="4" w:space="0" w:color="auto"/>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1,217</w:t>
            </w:r>
          </w:p>
        </w:tc>
        <w:tc>
          <w:tcPr>
            <w:tcW w:w="725" w:type="pct"/>
            <w:tcBorders>
              <w:top w:val="single" w:sz="4" w:space="0" w:color="auto"/>
              <w:left w:val="nil"/>
              <w:bottom w:val="single" w:sz="4" w:space="0" w:color="auto"/>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0,974</w:t>
            </w:r>
          </w:p>
        </w:tc>
        <w:tc>
          <w:tcPr>
            <w:tcW w:w="725" w:type="pct"/>
            <w:tcBorders>
              <w:top w:val="single" w:sz="4" w:space="0" w:color="auto"/>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6,600</w:t>
            </w:r>
          </w:p>
        </w:tc>
        <w:tc>
          <w:tcPr>
            <w:tcW w:w="725" w:type="pct"/>
            <w:tcBorders>
              <w:top w:val="single" w:sz="4" w:space="0" w:color="auto"/>
              <w:left w:val="nil"/>
              <w:bottom w:val="single" w:sz="4" w:space="0" w:color="auto"/>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8,250</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C60A0B" w:rsidRPr="008619D2" w:rsidRDefault="00C60A0B" w:rsidP="008619D2">
            <w:pPr>
              <w:rPr>
                <w:b/>
                <w:bCs/>
                <w:color w:val="010205"/>
                <w:sz w:val="18"/>
                <w:szCs w:val="18"/>
                <w:lang w:eastAsia="cs-CZ"/>
              </w:rPr>
            </w:pPr>
            <w:r w:rsidRPr="008619D2">
              <w:rPr>
                <w:b/>
                <w:bCs/>
                <w:color w:val="010205"/>
                <w:sz w:val="18"/>
                <w:szCs w:val="18"/>
                <w:lang w:eastAsia="cs-CZ"/>
              </w:rPr>
              <w:t>1,250</w:t>
            </w:r>
          </w:p>
        </w:tc>
      </w:tr>
    </w:tbl>
    <w:p w:rsidR="00E76418" w:rsidRDefault="00E76418" w:rsidP="00C60A0B"/>
    <w:p w:rsidR="00C60A0B" w:rsidRPr="008619D2" w:rsidRDefault="00C60A0B" w:rsidP="008619D2">
      <w:r w:rsidRPr="008619D2">
        <w:t xml:space="preserve">Z výše uvedené analýzy plynou následující skutečnosti. </w:t>
      </w:r>
    </w:p>
    <w:p w:rsidR="00C60A0B" w:rsidRPr="008619D2" w:rsidRDefault="00C60A0B" w:rsidP="008619D2">
      <w:r w:rsidRPr="008619D2">
        <w:t>Pro ukazatel (vysvětlující proměnnou) polarita primární EBITDA skutečnost, že 20,4 % podniků s kladnou primární EBITDA má přebytek nutné hotovosti a 79,6 % podniků s kladnou primární EBITDA má deficit nutné hotovosti. Šance vyjádřená podílem těchto relativních četností je pak 3,9. Dále, 6,3</w:t>
      </w:r>
      <w:r w:rsidRPr="008619D2">
        <w:rPr>
          <w:lang w:val="en-US"/>
        </w:rPr>
        <w:t> </w:t>
      </w:r>
      <w:r w:rsidRPr="008619D2">
        <w:t>% podniků se zápornou primární EBITDA má přebytek nutné hotovosti a 93,8 % podniků se zápornou primární EBITDA má deficit nutné hotovosti. Šance vyjádřená podílem těchto relativních četností je pak 15. Poměr šancí je pak 3,846. Poměr šancí je větší než jedna, tedy u podniků se zápornou primární EBITDA je téměř 4krát větší šance, že budou mít deficit nutné hotovosti (jako indikaci platební neschopnosti). Relativní riziko ve skupině podniků s přebytkem nutné hotovosti pak na základě výše citovaných údajů představuje hodnotu 3,265 a relativní riziko ve skupině podniků s deficitem nutné hotovostí hodnotu 0,849. Poměr šancí stanovený podílem těchto relativních rizik je pak rovněž na úrovni 3,846.</w:t>
      </w:r>
    </w:p>
    <w:p w:rsidR="00C60A0B" w:rsidRPr="008619D2" w:rsidRDefault="00C60A0B" w:rsidP="008619D2">
      <w:r w:rsidRPr="008619D2">
        <w:t>Pro ukazatel (vysvětlující proměnnou) polarita salda primárních NSPK skutečnost, že 17,2 % podniků s kladným saldem primárních NSPK má přebytek nutné hotovosti a 82,8 % podniků s kladným saldem primárních NSPK má deficit nutné hotovosti. Šance vyjádřená podílem těchto relativních četností je pak 4,818. Dále, 6,1</w:t>
      </w:r>
      <w:r w:rsidRPr="008619D2">
        <w:rPr>
          <w:lang w:val="en-US"/>
        </w:rPr>
        <w:t> </w:t>
      </w:r>
      <w:r w:rsidRPr="008619D2">
        <w:t>% podniků se se záporným saldem primárních NSPK mají přebytek nutné hotovosti a 93,9 % podniků se záporným saldem primárních NSPK má deficit nutné hotovosti. Šance vyjádřená podílem těchto relativních četností je pak 15,33. Poměr šancí je pak 3,182. Poměr šancí je větší než jedna, tedy u podniků se se záporným saldem primárních NSPK je cca 3krát větší šance, že budou mít deficit nutné hotovosti. Relativní riziko ve skupině podniků s přebytkem nutné hotovosti pak na základě výše citovaných údajů představuje hodnotu 2,807 a relativní riziko ve skupině podniků s deficitem nutné hotovostí hodnotu 0,882. Poměr šancí stanovený podílem těchto relativních rizik je pak rovněž na úrovni 3,182.</w:t>
      </w:r>
    </w:p>
    <w:p w:rsidR="00C60A0B" w:rsidRPr="007F32FE" w:rsidRDefault="00C60A0B" w:rsidP="008619D2">
      <w:r w:rsidRPr="008619D2">
        <w:t>Pro ukazatel (vysvětlující proměnnou) polarita vlastního kapitálu skutečnost, že 13,2 % podniků s kladným vlastním kapitálem má přebytek nutné hotovosti a 86,8 % podniků s kladným vlastním kapitálem má deficit nutné hotovosti. Šance vyjádřená podílem těchto relativních četností je pak 6,6. Dále, 10,8</w:t>
      </w:r>
      <w:r w:rsidRPr="008619D2">
        <w:rPr>
          <w:lang w:val="en-US"/>
        </w:rPr>
        <w:t> </w:t>
      </w:r>
      <w:r w:rsidRPr="008619D2">
        <w:t>% podniků se záporným vlastním kapitálem mají přebytek nutné hotovosti a 89,2 % podniků se záporným vlastním kapitálem má deficit nutné hotovosti. Šance vyjádřená podílem těchto relativních četností je pak 8,25. Poměr šancí je pak 1,25. Poměr šancí je jen mírně větší než jedna a u podniků se zápornou primární EBITDA je cca 1,3krát větší šance, že budou mít deficit nutné hotovosti. Relativní riziko ve skupině</w:t>
      </w:r>
      <w:r w:rsidRPr="007F32FE">
        <w:t xml:space="preserve"> </w:t>
      </w:r>
      <w:r w:rsidRPr="007F32FE">
        <w:lastRenderedPageBreak/>
        <w:t xml:space="preserve">podniků s přebytkem nutné hotovosti pak na základě výše citovaných údajů představuje hodnotu 1,217 a relativní riziko ve skupině podniků s deficitem nutné hotovostí hodnotu 0,974. Poměr šancí stanovený podílem těchto relativních rizik je pak rovněž na úrovni 1,25. </w:t>
      </w:r>
    </w:p>
    <w:p w:rsidR="00C60A0B" w:rsidRPr="008619D2" w:rsidRDefault="00C60A0B" w:rsidP="00A707FB">
      <w:r w:rsidRPr="008619D2">
        <w:t xml:space="preserve">Uvedená analýza ukazuje závislost deficitu nutné hotovosti na polaritě jednotlivých vybraných ukazatelů pomocí poměru šancí, ukazuje tedy, kolikrát se zvýší šance, že bude existovat nedostatek nutné hotovosti, jestliže dojde ke změně polarity ostatních ukazatelů. Z analýzy plyne, že největší intenzita závislosti likvidity (měřené deficitem nutné hotovosti) je na polaritě primární EBITDA. Z tohoto úhlu pohledu je tedy primární EBITDA, resp. její polarita, významnou determinantou likvidity a potažmo platební schopnosti. </w:t>
      </w:r>
    </w:p>
    <w:p w:rsidR="00C60A0B" w:rsidRPr="008619D2" w:rsidRDefault="00C60A0B" w:rsidP="00A707FB">
      <w:r w:rsidRPr="008619D2">
        <w:t xml:space="preserve">Ke shodným výsledkům lze dospět i použitím logistického regresního modelu s jednou vysvětlující proměnnou, kdy vysvětlující proměnnou jsou postupně shodné dichotomické proměnné, jako při použití čtyřpolní tabulky. Hodnota ve sloupci </w:t>
      </w:r>
      <w:r w:rsidRPr="008619D2">
        <w:rPr>
          <w:i/>
        </w:rPr>
        <w:t>B</w:t>
      </w:r>
      <w:r w:rsidRPr="008619D2">
        <w:t xml:space="preserve"> u jednotlivých ukazatelů představuje přirozený logaritmus poměru šancí, tedy odhad koeficientu </w:t>
      </w:r>
      <w:r w:rsidRPr="008619D2">
        <w:rPr>
          <w:rFonts w:ascii="Symbol" w:hAnsi="Symbol"/>
        </w:rPr>
        <w:t></w:t>
      </w:r>
      <w:r w:rsidRPr="008619D2">
        <w:rPr>
          <w:rFonts w:cs="Times New Roman"/>
          <w:vertAlign w:val="subscript"/>
        </w:rPr>
        <w:t>1</w:t>
      </w:r>
      <w:r w:rsidRPr="008619D2">
        <w:t xml:space="preserve"> z rovnice </w:t>
      </w:r>
      <w:fldSimple w:instr=" REF _Ref9009387 \h  \* MERGEFORMAT ">
        <w:r w:rsidRPr="008619D2">
          <w:rPr>
            <w:rFonts w:cs="Times New Roman"/>
            <w:sz w:val="26"/>
          </w:rPr>
          <w:t>(</w:t>
        </w:r>
        <w:r w:rsidRPr="008619D2">
          <w:rPr>
            <w:noProof/>
          </w:rPr>
          <w:t>8</w:t>
        </w:r>
        <w:r w:rsidRPr="008619D2">
          <w:t>)</w:t>
        </w:r>
      </w:fldSimple>
      <w:r w:rsidRPr="008619D2">
        <w:t xml:space="preserve"> a z rovnice </w:t>
      </w:r>
      <w:fldSimple w:instr=" REF _Ref9008314 \h  \* MERGEFORMAT ">
        <w:r w:rsidRPr="008619D2">
          <w:rPr>
            <w:rFonts w:cs="Times New Roman"/>
            <w:sz w:val="26"/>
          </w:rPr>
          <w:t>(</w:t>
        </w:r>
        <w:r w:rsidRPr="008619D2">
          <w:rPr>
            <w:noProof/>
          </w:rPr>
          <w:t>9</w:t>
        </w:r>
        <w:r w:rsidRPr="008619D2">
          <w:t>)</w:t>
        </w:r>
      </w:fldSimple>
      <w:r w:rsidRPr="008619D2">
        <w:t xml:space="preserve">, hodnota ve sloupci </w:t>
      </w:r>
      <w:proofErr w:type="gramStart"/>
      <w:r w:rsidRPr="008619D2">
        <w:rPr>
          <w:i/>
        </w:rPr>
        <w:t>Exp(B)</w:t>
      </w:r>
      <w:r w:rsidRPr="008619D2">
        <w:t xml:space="preserve"> pak</w:t>
      </w:r>
      <w:proofErr w:type="gramEnd"/>
      <w:r w:rsidRPr="008619D2">
        <w:t xml:space="preserve"> u jednotlivých ukazatelů představuje poměr z rovnice </w:t>
      </w:r>
      <w:fldSimple w:instr=" REF _Ref9010049 \h  \* MERGEFORMAT ">
        <w:r w:rsidRPr="008619D2">
          <w:t>(</w:t>
        </w:r>
        <w:r w:rsidRPr="008619D2">
          <w:rPr>
            <w:noProof/>
          </w:rPr>
          <w:t>11</w:t>
        </w:r>
        <w:r w:rsidRPr="008619D2">
          <w:t>)</w:t>
        </w:r>
      </w:fldSimple>
      <w:r w:rsidRPr="008619D2">
        <w:t xml:space="preserve"> šancí shodný výsledky, které prezentuje</w:t>
      </w:r>
      <w:r w:rsidR="00DE2F82">
        <w:t xml:space="preserve"> Tabulka 28</w:t>
      </w:r>
      <w:r w:rsidRPr="008619D2">
        <w:t xml:space="preserve">.  Konstanta ve sloupci </w:t>
      </w:r>
      <w:r w:rsidRPr="008619D2">
        <w:rPr>
          <w:i/>
        </w:rPr>
        <w:t>B</w:t>
      </w:r>
      <w:r w:rsidRPr="008619D2">
        <w:t xml:space="preserve"> v tomto modelu logistické regrese představuje stav, z něhož se vychází, tedy odhad koeficientu </w:t>
      </w:r>
      <w:r w:rsidRPr="008619D2">
        <w:rPr>
          <w:rFonts w:ascii="Symbol" w:hAnsi="Symbol"/>
        </w:rPr>
        <w:t></w:t>
      </w:r>
      <w:r w:rsidRPr="008619D2">
        <w:rPr>
          <w:rFonts w:cs="Times New Roman"/>
          <w:vertAlign w:val="subscript"/>
        </w:rPr>
        <w:t>0</w:t>
      </w:r>
      <w:r w:rsidRPr="008619D2">
        <w:t xml:space="preserve"> z rovnice </w:t>
      </w:r>
      <w:fldSimple w:instr=" REF _Ref8932832 \h  \* MERGEFORMAT ">
        <w:r w:rsidRPr="008619D2">
          <w:rPr>
            <w:rFonts w:cs="Times New Roman"/>
          </w:rPr>
          <w:t>(</w:t>
        </w:r>
        <w:r w:rsidRPr="008619D2">
          <w:rPr>
            <w:noProof/>
          </w:rPr>
          <w:t>10</w:t>
        </w:r>
        <w:r w:rsidRPr="008619D2">
          <w:t>)</w:t>
        </w:r>
      </w:fldSimple>
      <w:r w:rsidRPr="008619D2">
        <w:t xml:space="preserve">, konstanta ve sloupci </w:t>
      </w:r>
      <w:proofErr w:type="gramStart"/>
      <w:r w:rsidRPr="008619D2">
        <w:rPr>
          <w:i/>
        </w:rPr>
        <w:t>Exp(B)</w:t>
      </w:r>
      <w:r w:rsidRPr="008619D2">
        <w:t xml:space="preserve"> pak</w:t>
      </w:r>
      <w:proofErr w:type="gramEnd"/>
      <w:r w:rsidRPr="008619D2">
        <w:t xml:space="preserve"> šanci pro kladnou hodnotu vysvětlující proměnné, jak prezentuje rovněž</w:t>
      </w:r>
      <w:r w:rsidR="00DE2F82">
        <w:t xml:space="preserve"> Tabulka 28</w:t>
      </w:r>
      <w:bookmarkStart w:id="81" w:name="_GoBack"/>
      <w:bookmarkEnd w:id="81"/>
      <w:r w:rsidRPr="008619D2">
        <w:t xml:space="preserve">. </w:t>
      </w:r>
    </w:p>
    <w:p w:rsidR="00E76418" w:rsidRDefault="00E76418" w:rsidP="00C60A0B">
      <w:pPr>
        <w:pStyle w:val="Titulek"/>
      </w:pPr>
      <w:bookmarkStart w:id="82" w:name="_Ref13491373"/>
      <w:bookmarkStart w:id="83" w:name="_Ref8936278"/>
    </w:p>
    <w:p w:rsidR="00C60A0B" w:rsidRDefault="00C60A0B" w:rsidP="00C60A0B">
      <w:pPr>
        <w:pStyle w:val="Titulek"/>
      </w:pPr>
      <w:bookmarkStart w:id="84" w:name="_Toc31054804"/>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28</w:t>
      </w:r>
      <w:r w:rsidR="00163A91">
        <w:rPr>
          <w:noProof/>
        </w:rPr>
        <w:fldChar w:fldCharType="end"/>
      </w:r>
      <w:bookmarkEnd w:id="82"/>
      <w:r>
        <w:t xml:space="preserve"> – Poměr šancí stanovený pomocí logistické regrese</w:t>
      </w:r>
      <w:bookmarkEnd w:id="83"/>
      <w:bookmarkEnd w:id="84"/>
    </w:p>
    <w:tbl>
      <w:tblPr>
        <w:tblW w:w="5000" w:type="pct"/>
        <w:tblCellMar>
          <w:left w:w="70" w:type="dxa"/>
          <w:right w:w="70" w:type="dxa"/>
        </w:tblCellMar>
        <w:tblLook w:val="04A0"/>
      </w:tblPr>
      <w:tblGrid>
        <w:gridCol w:w="3338"/>
        <w:gridCol w:w="1075"/>
        <w:gridCol w:w="1074"/>
        <w:gridCol w:w="1074"/>
        <w:gridCol w:w="503"/>
        <w:gridCol w:w="1074"/>
        <w:gridCol w:w="1074"/>
      </w:tblGrid>
      <w:tr w:rsidR="00C60A0B" w:rsidRPr="00B97FC7" w:rsidTr="00C60A0B">
        <w:trPr>
          <w:trHeight w:val="369"/>
        </w:trPr>
        <w:tc>
          <w:tcPr>
            <w:tcW w:w="1811" w:type="pct"/>
            <w:tcBorders>
              <w:top w:val="single" w:sz="4" w:space="0" w:color="auto"/>
              <w:left w:val="single" w:sz="4" w:space="0" w:color="auto"/>
              <w:bottom w:val="single" w:sz="4" w:space="0" w:color="152935"/>
              <w:right w:val="nil"/>
            </w:tcBorders>
            <w:shd w:val="clear" w:color="auto" w:fill="auto"/>
            <w:vAlign w:val="center"/>
            <w:hideMark/>
          </w:tcPr>
          <w:p w:rsidR="00C60A0B" w:rsidRPr="00A707FB" w:rsidRDefault="00C60A0B" w:rsidP="00A707FB">
            <w:pPr>
              <w:rPr>
                <w:sz w:val="18"/>
                <w:szCs w:val="18"/>
                <w:lang w:eastAsia="cs-CZ"/>
              </w:rPr>
            </w:pPr>
            <w:r w:rsidRPr="00A707FB">
              <w:rPr>
                <w:sz w:val="18"/>
                <w:szCs w:val="18"/>
                <w:lang w:eastAsia="cs-CZ"/>
              </w:rPr>
              <w:t> </w:t>
            </w:r>
          </w:p>
        </w:tc>
        <w:tc>
          <w:tcPr>
            <w:tcW w:w="583" w:type="pct"/>
            <w:tcBorders>
              <w:top w:val="single" w:sz="4" w:space="0" w:color="auto"/>
              <w:left w:val="nil"/>
              <w:bottom w:val="single" w:sz="4" w:space="0" w:color="152935"/>
              <w:right w:val="single" w:sz="4" w:space="0" w:color="E0E0E0"/>
            </w:tcBorders>
            <w:shd w:val="clear" w:color="auto" w:fill="auto"/>
            <w:vAlign w:val="center"/>
            <w:hideMark/>
          </w:tcPr>
          <w:p w:rsidR="00C60A0B" w:rsidRPr="00A707FB" w:rsidRDefault="00C60A0B" w:rsidP="00A707FB">
            <w:pPr>
              <w:rPr>
                <w:sz w:val="18"/>
                <w:szCs w:val="18"/>
                <w:lang w:eastAsia="cs-CZ"/>
              </w:rPr>
            </w:pPr>
            <w:r w:rsidRPr="00A707FB">
              <w:rPr>
                <w:sz w:val="18"/>
                <w:szCs w:val="18"/>
                <w:lang w:eastAsia="cs-CZ"/>
              </w:rPr>
              <w:t>B</w:t>
            </w:r>
          </w:p>
        </w:tc>
        <w:tc>
          <w:tcPr>
            <w:tcW w:w="583" w:type="pct"/>
            <w:tcBorders>
              <w:top w:val="single" w:sz="4" w:space="0" w:color="auto"/>
              <w:left w:val="nil"/>
              <w:bottom w:val="single" w:sz="4" w:space="0" w:color="152935"/>
              <w:right w:val="single" w:sz="4" w:space="0" w:color="E0E0E0"/>
            </w:tcBorders>
            <w:shd w:val="clear" w:color="auto" w:fill="auto"/>
            <w:vAlign w:val="center"/>
            <w:hideMark/>
          </w:tcPr>
          <w:p w:rsidR="00C60A0B" w:rsidRPr="00A707FB" w:rsidRDefault="00C60A0B" w:rsidP="00A707FB">
            <w:pPr>
              <w:rPr>
                <w:sz w:val="18"/>
                <w:szCs w:val="18"/>
                <w:lang w:eastAsia="cs-CZ"/>
              </w:rPr>
            </w:pPr>
            <w:proofErr w:type="gramStart"/>
            <w:r w:rsidRPr="00A707FB">
              <w:rPr>
                <w:sz w:val="18"/>
                <w:szCs w:val="18"/>
                <w:lang w:eastAsia="cs-CZ"/>
              </w:rPr>
              <w:t>S.E.</w:t>
            </w:r>
            <w:proofErr w:type="gramEnd"/>
          </w:p>
        </w:tc>
        <w:tc>
          <w:tcPr>
            <w:tcW w:w="583" w:type="pct"/>
            <w:tcBorders>
              <w:top w:val="single" w:sz="4" w:space="0" w:color="auto"/>
              <w:left w:val="nil"/>
              <w:bottom w:val="single" w:sz="4" w:space="0" w:color="152935"/>
              <w:right w:val="single" w:sz="4" w:space="0" w:color="E0E0E0"/>
            </w:tcBorders>
            <w:shd w:val="clear" w:color="auto" w:fill="auto"/>
            <w:vAlign w:val="center"/>
            <w:hideMark/>
          </w:tcPr>
          <w:p w:rsidR="00C60A0B" w:rsidRPr="00A707FB" w:rsidRDefault="00C60A0B" w:rsidP="00A707FB">
            <w:pPr>
              <w:rPr>
                <w:sz w:val="18"/>
                <w:szCs w:val="18"/>
                <w:lang w:eastAsia="cs-CZ"/>
              </w:rPr>
            </w:pPr>
            <w:r w:rsidRPr="00A707FB">
              <w:rPr>
                <w:sz w:val="18"/>
                <w:szCs w:val="18"/>
                <w:lang w:eastAsia="cs-CZ"/>
              </w:rPr>
              <w:t>Wald</w:t>
            </w:r>
          </w:p>
        </w:tc>
        <w:tc>
          <w:tcPr>
            <w:tcW w:w="273" w:type="pct"/>
            <w:tcBorders>
              <w:top w:val="single" w:sz="4" w:space="0" w:color="auto"/>
              <w:left w:val="nil"/>
              <w:bottom w:val="single" w:sz="4" w:space="0" w:color="152935"/>
              <w:right w:val="single" w:sz="4" w:space="0" w:color="E0E0E0"/>
            </w:tcBorders>
            <w:shd w:val="clear" w:color="auto" w:fill="auto"/>
            <w:vAlign w:val="center"/>
            <w:hideMark/>
          </w:tcPr>
          <w:p w:rsidR="00C60A0B" w:rsidRPr="00A707FB" w:rsidRDefault="00C60A0B" w:rsidP="00A707FB">
            <w:pPr>
              <w:rPr>
                <w:sz w:val="18"/>
                <w:szCs w:val="18"/>
                <w:lang w:eastAsia="cs-CZ"/>
              </w:rPr>
            </w:pPr>
            <w:r w:rsidRPr="00A707FB">
              <w:rPr>
                <w:sz w:val="18"/>
                <w:szCs w:val="18"/>
                <w:lang w:eastAsia="cs-CZ"/>
              </w:rPr>
              <w:t>df</w:t>
            </w:r>
          </w:p>
        </w:tc>
        <w:tc>
          <w:tcPr>
            <w:tcW w:w="583" w:type="pct"/>
            <w:tcBorders>
              <w:top w:val="single" w:sz="4" w:space="0" w:color="auto"/>
              <w:left w:val="nil"/>
              <w:bottom w:val="single" w:sz="4" w:space="0" w:color="152935"/>
              <w:right w:val="single" w:sz="4" w:space="0" w:color="E0E0E0"/>
            </w:tcBorders>
            <w:shd w:val="clear" w:color="auto" w:fill="auto"/>
            <w:vAlign w:val="center"/>
            <w:hideMark/>
          </w:tcPr>
          <w:p w:rsidR="00C60A0B" w:rsidRPr="00A707FB" w:rsidRDefault="00C60A0B" w:rsidP="00A707FB">
            <w:pPr>
              <w:rPr>
                <w:sz w:val="18"/>
                <w:szCs w:val="18"/>
                <w:lang w:eastAsia="cs-CZ"/>
              </w:rPr>
            </w:pPr>
            <w:r w:rsidRPr="00A707FB">
              <w:rPr>
                <w:sz w:val="18"/>
                <w:szCs w:val="18"/>
                <w:lang w:eastAsia="cs-CZ"/>
              </w:rPr>
              <w:t>Sig.</w:t>
            </w:r>
          </w:p>
        </w:tc>
        <w:tc>
          <w:tcPr>
            <w:tcW w:w="583" w:type="pct"/>
            <w:tcBorders>
              <w:top w:val="single" w:sz="4" w:space="0" w:color="auto"/>
              <w:left w:val="nil"/>
              <w:bottom w:val="single" w:sz="4" w:space="0" w:color="152935"/>
              <w:right w:val="single" w:sz="4" w:space="0" w:color="auto"/>
            </w:tcBorders>
            <w:shd w:val="clear" w:color="auto" w:fill="auto"/>
            <w:vAlign w:val="center"/>
            <w:hideMark/>
          </w:tcPr>
          <w:p w:rsidR="00C60A0B" w:rsidRPr="00A707FB" w:rsidRDefault="00C60A0B" w:rsidP="00A707FB">
            <w:pPr>
              <w:rPr>
                <w:sz w:val="18"/>
                <w:szCs w:val="18"/>
                <w:lang w:eastAsia="cs-CZ"/>
              </w:rPr>
            </w:pPr>
            <w:proofErr w:type="gramStart"/>
            <w:r w:rsidRPr="00A707FB">
              <w:rPr>
                <w:sz w:val="18"/>
                <w:szCs w:val="18"/>
                <w:lang w:eastAsia="cs-CZ"/>
              </w:rPr>
              <w:t>Exp(B)</w:t>
            </w:r>
            <w:proofErr w:type="gramEnd"/>
          </w:p>
        </w:tc>
      </w:tr>
      <w:tr w:rsidR="00C60A0B" w:rsidRPr="00B97FC7" w:rsidTr="00C60A0B">
        <w:trPr>
          <w:trHeight w:val="369"/>
        </w:trPr>
        <w:tc>
          <w:tcPr>
            <w:tcW w:w="1811" w:type="pct"/>
            <w:tcBorders>
              <w:top w:val="nil"/>
              <w:left w:val="single" w:sz="4" w:space="0" w:color="auto"/>
              <w:bottom w:val="single" w:sz="4" w:space="0" w:color="AEAEAE"/>
              <w:right w:val="nil"/>
            </w:tcBorders>
            <w:shd w:val="clear" w:color="000000" w:fill="E0E0E0"/>
            <w:vAlign w:val="center"/>
            <w:hideMark/>
          </w:tcPr>
          <w:p w:rsidR="00C60A0B" w:rsidRPr="00A707FB" w:rsidRDefault="00C60A0B" w:rsidP="00A707FB">
            <w:pPr>
              <w:rPr>
                <w:sz w:val="18"/>
                <w:szCs w:val="18"/>
                <w:lang w:eastAsia="cs-CZ"/>
              </w:rPr>
            </w:pPr>
            <w:r w:rsidRPr="00A707FB">
              <w:rPr>
                <w:sz w:val="18"/>
                <w:szCs w:val="18"/>
                <w:lang w:eastAsia="cs-CZ"/>
              </w:rPr>
              <w:t>Polarita primární EBITDA</w:t>
            </w:r>
          </w:p>
        </w:tc>
        <w:tc>
          <w:tcPr>
            <w:tcW w:w="583" w:type="pct"/>
            <w:tcBorders>
              <w:top w:val="nil"/>
              <w:left w:val="nil"/>
              <w:bottom w:val="single" w:sz="4" w:space="0" w:color="AEAEAE"/>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1,347</w:t>
            </w:r>
          </w:p>
        </w:tc>
        <w:tc>
          <w:tcPr>
            <w:tcW w:w="583" w:type="pct"/>
            <w:tcBorders>
              <w:top w:val="nil"/>
              <w:left w:val="nil"/>
              <w:bottom w:val="single" w:sz="4" w:space="0" w:color="AEAEAE"/>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0,626</w:t>
            </w:r>
          </w:p>
        </w:tc>
        <w:tc>
          <w:tcPr>
            <w:tcW w:w="583" w:type="pct"/>
            <w:tcBorders>
              <w:top w:val="nil"/>
              <w:left w:val="nil"/>
              <w:bottom w:val="single" w:sz="4" w:space="0" w:color="AEAEAE"/>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4,625</w:t>
            </w:r>
          </w:p>
        </w:tc>
        <w:tc>
          <w:tcPr>
            <w:tcW w:w="273" w:type="pct"/>
            <w:tcBorders>
              <w:top w:val="nil"/>
              <w:left w:val="nil"/>
              <w:bottom w:val="single" w:sz="4" w:space="0" w:color="AEAEAE"/>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1</w:t>
            </w:r>
          </w:p>
        </w:tc>
        <w:tc>
          <w:tcPr>
            <w:tcW w:w="583" w:type="pct"/>
            <w:tcBorders>
              <w:top w:val="nil"/>
              <w:left w:val="nil"/>
              <w:bottom w:val="single" w:sz="4" w:space="0" w:color="AEAEAE"/>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0,032</w:t>
            </w:r>
          </w:p>
        </w:tc>
        <w:tc>
          <w:tcPr>
            <w:tcW w:w="583" w:type="pct"/>
            <w:tcBorders>
              <w:top w:val="nil"/>
              <w:left w:val="nil"/>
              <w:bottom w:val="single" w:sz="4" w:space="0" w:color="AEAEAE"/>
              <w:right w:val="single" w:sz="4" w:space="0" w:color="auto"/>
            </w:tcBorders>
            <w:shd w:val="clear" w:color="auto" w:fill="auto"/>
            <w:noWrap/>
            <w:vAlign w:val="center"/>
            <w:hideMark/>
          </w:tcPr>
          <w:p w:rsidR="00C60A0B" w:rsidRPr="00A707FB" w:rsidRDefault="00C60A0B" w:rsidP="00A707FB">
            <w:pPr>
              <w:rPr>
                <w:b/>
                <w:bCs/>
                <w:color w:val="010205"/>
                <w:sz w:val="18"/>
                <w:szCs w:val="18"/>
                <w:lang w:eastAsia="cs-CZ"/>
              </w:rPr>
            </w:pPr>
            <w:r w:rsidRPr="00A707FB">
              <w:rPr>
                <w:b/>
                <w:bCs/>
                <w:color w:val="010205"/>
                <w:sz w:val="18"/>
                <w:szCs w:val="18"/>
                <w:lang w:eastAsia="cs-CZ"/>
              </w:rPr>
              <w:t>3,846</w:t>
            </w:r>
          </w:p>
        </w:tc>
      </w:tr>
      <w:tr w:rsidR="00C60A0B" w:rsidRPr="00B97FC7" w:rsidTr="00C60A0B">
        <w:trPr>
          <w:trHeight w:val="369"/>
        </w:trPr>
        <w:tc>
          <w:tcPr>
            <w:tcW w:w="1811" w:type="pct"/>
            <w:tcBorders>
              <w:top w:val="nil"/>
              <w:left w:val="single" w:sz="4" w:space="0" w:color="auto"/>
              <w:bottom w:val="single" w:sz="4" w:space="0" w:color="152935"/>
              <w:right w:val="nil"/>
            </w:tcBorders>
            <w:shd w:val="clear" w:color="000000" w:fill="E0E0E0"/>
            <w:vAlign w:val="center"/>
            <w:hideMark/>
          </w:tcPr>
          <w:p w:rsidR="00C60A0B" w:rsidRPr="00A707FB" w:rsidRDefault="00C60A0B" w:rsidP="00A707FB">
            <w:pPr>
              <w:rPr>
                <w:sz w:val="18"/>
                <w:szCs w:val="18"/>
                <w:lang w:eastAsia="cs-CZ"/>
              </w:rPr>
            </w:pPr>
            <w:r w:rsidRPr="00A707FB">
              <w:rPr>
                <w:sz w:val="18"/>
                <w:szCs w:val="18"/>
                <w:lang w:eastAsia="cs-CZ"/>
              </w:rPr>
              <w:t>Konstanta</w:t>
            </w:r>
          </w:p>
        </w:tc>
        <w:tc>
          <w:tcPr>
            <w:tcW w:w="583" w:type="pct"/>
            <w:tcBorders>
              <w:top w:val="nil"/>
              <w:left w:val="nil"/>
              <w:bottom w:val="single" w:sz="4" w:space="0" w:color="152935"/>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1,361</w:t>
            </w:r>
          </w:p>
        </w:tc>
        <w:tc>
          <w:tcPr>
            <w:tcW w:w="583" w:type="pct"/>
            <w:tcBorders>
              <w:top w:val="nil"/>
              <w:left w:val="nil"/>
              <w:bottom w:val="single" w:sz="4" w:space="0" w:color="152935"/>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0,354</w:t>
            </w:r>
          </w:p>
        </w:tc>
        <w:tc>
          <w:tcPr>
            <w:tcW w:w="583" w:type="pct"/>
            <w:tcBorders>
              <w:top w:val="nil"/>
              <w:left w:val="nil"/>
              <w:bottom w:val="single" w:sz="4" w:space="0" w:color="152935"/>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14,742</w:t>
            </w:r>
          </w:p>
        </w:tc>
        <w:tc>
          <w:tcPr>
            <w:tcW w:w="273" w:type="pct"/>
            <w:tcBorders>
              <w:top w:val="nil"/>
              <w:left w:val="nil"/>
              <w:bottom w:val="single" w:sz="4" w:space="0" w:color="152935"/>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1</w:t>
            </w:r>
          </w:p>
        </w:tc>
        <w:tc>
          <w:tcPr>
            <w:tcW w:w="583" w:type="pct"/>
            <w:tcBorders>
              <w:top w:val="nil"/>
              <w:left w:val="nil"/>
              <w:bottom w:val="single" w:sz="4" w:space="0" w:color="152935"/>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0,000</w:t>
            </w:r>
          </w:p>
        </w:tc>
        <w:tc>
          <w:tcPr>
            <w:tcW w:w="583" w:type="pct"/>
            <w:tcBorders>
              <w:top w:val="nil"/>
              <w:left w:val="nil"/>
              <w:bottom w:val="single" w:sz="4" w:space="0" w:color="152935"/>
              <w:right w:val="single" w:sz="4" w:space="0" w:color="auto"/>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3,900</w:t>
            </w:r>
          </w:p>
        </w:tc>
      </w:tr>
      <w:tr w:rsidR="00C60A0B" w:rsidRPr="00B97FC7" w:rsidTr="00C60A0B">
        <w:trPr>
          <w:trHeight w:val="369"/>
        </w:trPr>
        <w:tc>
          <w:tcPr>
            <w:tcW w:w="1811" w:type="pct"/>
            <w:tcBorders>
              <w:top w:val="nil"/>
              <w:left w:val="single" w:sz="4" w:space="0" w:color="auto"/>
              <w:bottom w:val="single" w:sz="4" w:space="0" w:color="AEAEAE"/>
              <w:right w:val="nil"/>
            </w:tcBorders>
            <w:shd w:val="clear" w:color="000000" w:fill="E0E0E0"/>
            <w:vAlign w:val="center"/>
            <w:hideMark/>
          </w:tcPr>
          <w:p w:rsidR="00C60A0B" w:rsidRPr="00A707FB" w:rsidRDefault="00C60A0B" w:rsidP="00A707FB">
            <w:pPr>
              <w:rPr>
                <w:sz w:val="18"/>
                <w:szCs w:val="18"/>
                <w:lang w:eastAsia="cs-CZ"/>
              </w:rPr>
            </w:pPr>
            <w:r w:rsidRPr="00A707FB">
              <w:rPr>
                <w:sz w:val="18"/>
                <w:szCs w:val="18"/>
                <w:lang w:eastAsia="cs-CZ"/>
              </w:rPr>
              <w:t>Polarita salda primárních NSPK</w:t>
            </w:r>
          </w:p>
        </w:tc>
        <w:tc>
          <w:tcPr>
            <w:tcW w:w="583" w:type="pct"/>
            <w:tcBorders>
              <w:top w:val="nil"/>
              <w:left w:val="nil"/>
              <w:bottom w:val="single" w:sz="4" w:space="0" w:color="AEAEAE"/>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1,158</w:t>
            </w:r>
          </w:p>
        </w:tc>
        <w:tc>
          <w:tcPr>
            <w:tcW w:w="583" w:type="pct"/>
            <w:tcBorders>
              <w:top w:val="nil"/>
              <w:left w:val="nil"/>
              <w:bottom w:val="single" w:sz="4" w:space="0" w:color="AEAEAE"/>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0,682</w:t>
            </w:r>
          </w:p>
        </w:tc>
        <w:tc>
          <w:tcPr>
            <w:tcW w:w="583" w:type="pct"/>
            <w:tcBorders>
              <w:top w:val="nil"/>
              <w:left w:val="nil"/>
              <w:bottom w:val="single" w:sz="4" w:space="0" w:color="AEAEAE"/>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2,883</w:t>
            </w:r>
          </w:p>
        </w:tc>
        <w:tc>
          <w:tcPr>
            <w:tcW w:w="273" w:type="pct"/>
            <w:tcBorders>
              <w:top w:val="nil"/>
              <w:left w:val="nil"/>
              <w:bottom w:val="single" w:sz="4" w:space="0" w:color="AEAEAE"/>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1</w:t>
            </w:r>
          </w:p>
        </w:tc>
        <w:tc>
          <w:tcPr>
            <w:tcW w:w="583" w:type="pct"/>
            <w:tcBorders>
              <w:top w:val="nil"/>
              <w:left w:val="nil"/>
              <w:bottom w:val="single" w:sz="4" w:space="0" w:color="AEAEAE"/>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0,090</w:t>
            </w:r>
          </w:p>
        </w:tc>
        <w:tc>
          <w:tcPr>
            <w:tcW w:w="583" w:type="pct"/>
            <w:tcBorders>
              <w:top w:val="nil"/>
              <w:left w:val="nil"/>
              <w:bottom w:val="single" w:sz="4" w:space="0" w:color="AEAEAE"/>
              <w:right w:val="single" w:sz="4" w:space="0" w:color="auto"/>
            </w:tcBorders>
            <w:shd w:val="clear" w:color="auto" w:fill="auto"/>
            <w:noWrap/>
            <w:vAlign w:val="center"/>
            <w:hideMark/>
          </w:tcPr>
          <w:p w:rsidR="00C60A0B" w:rsidRPr="00A707FB" w:rsidRDefault="00C60A0B" w:rsidP="00A707FB">
            <w:pPr>
              <w:rPr>
                <w:b/>
                <w:bCs/>
                <w:color w:val="010205"/>
                <w:sz w:val="18"/>
                <w:szCs w:val="18"/>
                <w:lang w:eastAsia="cs-CZ"/>
              </w:rPr>
            </w:pPr>
            <w:r w:rsidRPr="00A707FB">
              <w:rPr>
                <w:b/>
                <w:bCs/>
                <w:color w:val="010205"/>
                <w:sz w:val="18"/>
                <w:szCs w:val="18"/>
                <w:lang w:eastAsia="cs-CZ"/>
              </w:rPr>
              <w:t>3,182</w:t>
            </w:r>
          </w:p>
        </w:tc>
      </w:tr>
      <w:tr w:rsidR="00C60A0B" w:rsidRPr="00B97FC7" w:rsidTr="00C60A0B">
        <w:trPr>
          <w:trHeight w:val="369"/>
        </w:trPr>
        <w:tc>
          <w:tcPr>
            <w:tcW w:w="1811" w:type="pct"/>
            <w:tcBorders>
              <w:top w:val="nil"/>
              <w:left w:val="single" w:sz="4" w:space="0" w:color="auto"/>
              <w:bottom w:val="single" w:sz="4" w:space="0" w:color="152935"/>
              <w:right w:val="nil"/>
            </w:tcBorders>
            <w:shd w:val="clear" w:color="000000" w:fill="E0E0E0"/>
            <w:vAlign w:val="center"/>
            <w:hideMark/>
          </w:tcPr>
          <w:p w:rsidR="00C60A0B" w:rsidRPr="00A707FB" w:rsidRDefault="00C60A0B" w:rsidP="00A707FB">
            <w:pPr>
              <w:rPr>
                <w:sz w:val="18"/>
                <w:szCs w:val="18"/>
                <w:lang w:eastAsia="cs-CZ"/>
              </w:rPr>
            </w:pPr>
            <w:r w:rsidRPr="00A707FB">
              <w:rPr>
                <w:sz w:val="18"/>
                <w:szCs w:val="18"/>
                <w:lang w:eastAsia="cs-CZ"/>
              </w:rPr>
              <w:t>Konstanta</w:t>
            </w:r>
          </w:p>
        </w:tc>
        <w:tc>
          <w:tcPr>
            <w:tcW w:w="583" w:type="pct"/>
            <w:tcBorders>
              <w:top w:val="nil"/>
              <w:left w:val="nil"/>
              <w:bottom w:val="single" w:sz="4" w:space="0" w:color="152935"/>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1,572</w:t>
            </w:r>
          </w:p>
        </w:tc>
        <w:tc>
          <w:tcPr>
            <w:tcW w:w="583" w:type="pct"/>
            <w:tcBorders>
              <w:top w:val="nil"/>
              <w:left w:val="nil"/>
              <w:bottom w:val="single" w:sz="4" w:space="0" w:color="152935"/>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0,331</w:t>
            </w:r>
          </w:p>
        </w:tc>
        <w:tc>
          <w:tcPr>
            <w:tcW w:w="583" w:type="pct"/>
            <w:tcBorders>
              <w:top w:val="nil"/>
              <w:left w:val="nil"/>
              <w:bottom w:val="single" w:sz="4" w:space="0" w:color="152935"/>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22,522</w:t>
            </w:r>
          </w:p>
        </w:tc>
        <w:tc>
          <w:tcPr>
            <w:tcW w:w="273" w:type="pct"/>
            <w:tcBorders>
              <w:top w:val="nil"/>
              <w:left w:val="nil"/>
              <w:bottom w:val="single" w:sz="4" w:space="0" w:color="152935"/>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1</w:t>
            </w:r>
          </w:p>
        </w:tc>
        <w:tc>
          <w:tcPr>
            <w:tcW w:w="583" w:type="pct"/>
            <w:tcBorders>
              <w:top w:val="nil"/>
              <w:left w:val="nil"/>
              <w:bottom w:val="single" w:sz="4" w:space="0" w:color="152935"/>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0,000</w:t>
            </w:r>
          </w:p>
        </w:tc>
        <w:tc>
          <w:tcPr>
            <w:tcW w:w="583" w:type="pct"/>
            <w:tcBorders>
              <w:top w:val="nil"/>
              <w:left w:val="nil"/>
              <w:bottom w:val="single" w:sz="4" w:space="0" w:color="152935"/>
              <w:right w:val="single" w:sz="4" w:space="0" w:color="auto"/>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4,818</w:t>
            </w:r>
          </w:p>
        </w:tc>
      </w:tr>
      <w:tr w:rsidR="00C60A0B" w:rsidRPr="00B97FC7" w:rsidTr="00C60A0B">
        <w:trPr>
          <w:trHeight w:val="369"/>
        </w:trPr>
        <w:tc>
          <w:tcPr>
            <w:tcW w:w="1811" w:type="pct"/>
            <w:tcBorders>
              <w:top w:val="nil"/>
              <w:left w:val="single" w:sz="4" w:space="0" w:color="auto"/>
              <w:bottom w:val="single" w:sz="4" w:space="0" w:color="AEAEAE"/>
              <w:right w:val="nil"/>
            </w:tcBorders>
            <w:shd w:val="clear" w:color="000000" w:fill="E0E0E0"/>
            <w:vAlign w:val="center"/>
            <w:hideMark/>
          </w:tcPr>
          <w:p w:rsidR="00C60A0B" w:rsidRPr="00A707FB" w:rsidRDefault="00C60A0B" w:rsidP="00A707FB">
            <w:pPr>
              <w:rPr>
                <w:sz w:val="18"/>
                <w:szCs w:val="18"/>
                <w:lang w:eastAsia="cs-CZ"/>
              </w:rPr>
            </w:pPr>
            <w:r w:rsidRPr="00A707FB">
              <w:rPr>
                <w:sz w:val="18"/>
                <w:szCs w:val="18"/>
                <w:lang w:eastAsia="cs-CZ"/>
              </w:rPr>
              <w:t>Polarita vlastního kapitálu</w:t>
            </w:r>
          </w:p>
        </w:tc>
        <w:tc>
          <w:tcPr>
            <w:tcW w:w="583" w:type="pct"/>
            <w:tcBorders>
              <w:top w:val="nil"/>
              <w:left w:val="nil"/>
              <w:bottom w:val="single" w:sz="4" w:space="0" w:color="AEAEAE"/>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0,223</w:t>
            </w:r>
          </w:p>
        </w:tc>
        <w:tc>
          <w:tcPr>
            <w:tcW w:w="583" w:type="pct"/>
            <w:tcBorders>
              <w:top w:val="nil"/>
              <w:left w:val="nil"/>
              <w:bottom w:val="single" w:sz="4" w:space="0" w:color="AEAEAE"/>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0,629</w:t>
            </w:r>
          </w:p>
        </w:tc>
        <w:tc>
          <w:tcPr>
            <w:tcW w:w="583" w:type="pct"/>
            <w:tcBorders>
              <w:top w:val="nil"/>
              <w:left w:val="nil"/>
              <w:bottom w:val="single" w:sz="4" w:space="0" w:color="AEAEAE"/>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0,126</w:t>
            </w:r>
          </w:p>
        </w:tc>
        <w:tc>
          <w:tcPr>
            <w:tcW w:w="273" w:type="pct"/>
            <w:tcBorders>
              <w:top w:val="nil"/>
              <w:left w:val="nil"/>
              <w:bottom w:val="single" w:sz="4" w:space="0" w:color="AEAEAE"/>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1</w:t>
            </w:r>
          </w:p>
        </w:tc>
        <w:tc>
          <w:tcPr>
            <w:tcW w:w="583" w:type="pct"/>
            <w:tcBorders>
              <w:top w:val="nil"/>
              <w:left w:val="nil"/>
              <w:bottom w:val="single" w:sz="4" w:space="0" w:color="AEAEAE"/>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0,723</w:t>
            </w:r>
          </w:p>
        </w:tc>
        <w:tc>
          <w:tcPr>
            <w:tcW w:w="583" w:type="pct"/>
            <w:tcBorders>
              <w:top w:val="nil"/>
              <w:left w:val="nil"/>
              <w:bottom w:val="single" w:sz="4" w:space="0" w:color="AEAEAE"/>
              <w:right w:val="single" w:sz="4" w:space="0" w:color="auto"/>
            </w:tcBorders>
            <w:shd w:val="clear" w:color="auto" w:fill="auto"/>
            <w:noWrap/>
            <w:vAlign w:val="center"/>
            <w:hideMark/>
          </w:tcPr>
          <w:p w:rsidR="00C60A0B" w:rsidRPr="00A707FB" w:rsidRDefault="00C60A0B" w:rsidP="00A707FB">
            <w:pPr>
              <w:rPr>
                <w:b/>
                <w:bCs/>
                <w:color w:val="010205"/>
                <w:sz w:val="18"/>
                <w:szCs w:val="18"/>
                <w:lang w:eastAsia="cs-CZ"/>
              </w:rPr>
            </w:pPr>
            <w:r w:rsidRPr="00A707FB">
              <w:rPr>
                <w:b/>
                <w:bCs/>
                <w:color w:val="010205"/>
                <w:sz w:val="18"/>
                <w:szCs w:val="18"/>
                <w:lang w:eastAsia="cs-CZ"/>
              </w:rPr>
              <w:t>1,250</w:t>
            </w:r>
          </w:p>
        </w:tc>
      </w:tr>
      <w:tr w:rsidR="00C60A0B" w:rsidRPr="00B97FC7" w:rsidTr="00C60A0B">
        <w:trPr>
          <w:trHeight w:val="369"/>
        </w:trPr>
        <w:tc>
          <w:tcPr>
            <w:tcW w:w="1811" w:type="pct"/>
            <w:tcBorders>
              <w:top w:val="nil"/>
              <w:left w:val="single" w:sz="4" w:space="0" w:color="auto"/>
              <w:bottom w:val="single" w:sz="4" w:space="0" w:color="auto"/>
              <w:right w:val="nil"/>
            </w:tcBorders>
            <w:shd w:val="clear" w:color="000000" w:fill="E0E0E0"/>
            <w:vAlign w:val="center"/>
            <w:hideMark/>
          </w:tcPr>
          <w:p w:rsidR="00C60A0B" w:rsidRPr="00A707FB" w:rsidRDefault="00C60A0B" w:rsidP="00A707FB">
            <w:pPr>
              <w:rPr>
                <w:sz w:val="18"/>
                <w:szCs w:val="18"/>
                <w:lang w:eastAsia="cs-CZ"/>
              </w:rPr>
            </w:pPr>
            <w:r w:rsidRPr="00A707FB">
              <w:rPr>
                <w:sz w:val="18"/>
                <w:szCs w:val="18"/>
                <w:lang w:eastAsia="cs-CZ"/>
              </w:rPr>
              <w:t>Konstanta</w:t>
            </w:r>
          </w:p>
        </w:tc>
        <w:tc>
          <w:tcPr>
            <w:tcW w:w="583" w:type="pct"/>
            <w:tcBorders>
              <w:top w:val="nil"/>
              <w:left w:val="nil"/>
              <w:bottom w:val="single" w:sz="4" w:space="0" w:color="auto"/>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1,887</w:t>
            </w:r>
          </w:p>
        </w:tc>
        <w:tc>
          <w:tcPr>
            <w:tcW w:w="583" w:type="pct"/>
            <w:tcBorders>
              <w:top w:val="nil"/>
              <w:left w:val="nil"/>
              <w:bottom w:val="single" w:sz="4" w:space="0" w:color="auto"/>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0,339</w:t>
            </w:r>
          </w:p>
        </w:tc>
        <w:tc>
          <w:tcPr>
            <w:tcW w:w="583" w:type="pct"/>
            <w:tcBorders>
              <w:top w:val="nil"/>
              <w:left w:val="nil"/>
              <w:bottom w:val="single" w:sz="4" w:space="0" w:color="auto"/>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30,925</w:t>
            </w:r>
          </w:p>
        </w:tc>
        <w:tc>
          <w:tcPr>
            <w:tcW w:w="273" w:type="pct"/>
            <w:tcBorders>
              <w:top w:val="nil"/>
              <w:left w:val="nil"/>
              <w:bottom w:val="single" w:sz="4" w:space="0" w:color="auto"/>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1</w:t>
            </w:r>
          </w:p>
        </w:tc>
        <w:tc>
          <w:tcPr>
            <w:tcW w:w="583" w:type="pct"/>
            <w:tcBorders>
              <w:top w:val="nil"/>
              <w:left w:val="nil"/>
              <w:bottom w:val="single" w:sz="4" w:space="0" w:color="auto"/>
              <w:right w:val="single" w:sz="4" w:space="0" w:color="E0E0E0"/>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0,000</w:t>
            </w:r>
          </w:p>
        </w:tc>
        <w:tc>
          <w:tcPr>
            <w:tcW w:w="583" w:type="pct"/>
            <w:tcBorders>
              <w:top w:val="nil"/>
              <w:left w:val="nil"/>
              <w:bottom w:val="single" w:sz="4" w:space="0" w:color="auto"/>
              <w:right w:val="single" w:sz="4" w:space="0" w:color="auto"/>
            </w:tcBorders>
            <w:shd w:val="clear" w:color="auto" w:fill="auto"/>
            <w:noWrap/>
            <w:vAlign w:val="center"/>
            <w:hideMark/>
          </w:tcPr>
          <w:p w:rsidR="00C60A0B" w:rsidRPr="00A707FB" w:rsidRDefault="00C60A0B" w:rsidP="00A707FB">
            <w:pPr>
              <w:rPr>
                <w:color w:val="010205"/>
                <w:sz w:val="18"/>
                <w:szCs w:val="18"/>
                <w:lang w:eastAsia="cs-CZ"/>
              </w:rPr>
            </w:pPr>
            <w:r w:rsidRPr="00A707FB">
              <w:rPr>
                <w:color w:val="010205"/>
                <w:sz w:val="18"/>
                <w:szCs w:val="18"/>
                <w:lang w:eastAsia="cs-CZ"/>
              </w:rPr>
              <w:t>6,600</w:t>
            </w:r>
          </w:p>
        </w:tc>
      </w:tr>
    </w:tbl>
    <w:p w:rsidR="00E76418" w:rsidRDefault="00E76418" w:rsidP="00C60A0B"/>
    <w:p w:rsidR="00C60A0B" w:rsidRDefault="00C60A0B" w:rsidP="00C60A0B">
      <w:r>
        <w:t xml:space="preserve">Jak již bylo uvedeno, hlavní otázkou řešenou v této práci je </w:t>
      </w:r>
      <w:r w:rsidRPr="006009B8">
        <w:rPr>
          <w:b/>
        </w:rPr>
        <w:t>současné působení</w:t>
      </w:r>
      <w:r>
        <w:t xml:space="preserve"> vybraných finančních charakteristik, resp. jejich polarit na úpadkové indikátory. Jak již bylo uvedeno, pro analýzu současného působení byla použita logistická regrese. Je však nutné ale uvést, že ambicí této práce není vytvoření skóringového či obdobného modelu obsahujícího pouze statisticky významné proměnné, nýbrž analýza, v jaké míře působí na úpadkové indikátory tyto proměnné (jejichž působení bylo dosud analyzováno odděleně) současně. Následující tabulka tak prezentuje toto současné působení, a nikoliv logistický regresní model obsahující pouze statisticky významné proměnné.</w:t>
      </w:r>
    </w:p>
    <w:p w:rsidR="00E76418" w:rsidRDefault="00E76418" w:rsidP="00C60A0B">
      <w:pPr>
        <w:pStyle w:val="Titulek"/>
      </w:pPr>
    </w:p>
    <w:p w:rsidR="00E76418" w:rsidRDefault="00E76418" w:rsidP="00C60A0B">
      <w:pPr>
        <w:pStyle w:val="Titulek"/>
      </w:pPr>
    </w:p>
    <w:p w:rsidR="00E76418" w:rsidRDefault="00E76418" w:rsidP="00C60A0B">
      <w:pPr>
        <w:pStyle w:val="Titulek"/>
      </w:pPr>
    </w:p>
    <w:p w:rsidR="008619D2" w:rsidRDefault="008619D2" w:rsidP="00C60A0B">
      <w:pPr>
        <w:pStyle w:val="Titulek"/>
      </w:pPr>
    </w:p>
    <w:p w:rsidR="00C60A0B" w:rsidRDefault="00C60A0B" w:rsidP="00C60A0B">
      <w:pPr>
        <w:pStyle w:val="Titulek"/>
      </w:pPr>
      <w:bookmarkStart w:id="85" w:name="_Toc31054805"/>
      <w:r>
        <w:lastRenderedPageBreak/>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29</w:t>
      </w:r>
      <w:r w:rsidR="00163A91">
        <w:rPr>
          <w:noProof/>
        </w:rPr>
        <w:fldChar w:fldCharType="end"/>
      </w:r>
      <w:r>
        <w:t xml:space="preserve"> – Současné působení vybraných ukazatelů</w:t>
      </w:r>
      <w:bookmarkEnd w:id="85"/>
    </w:p>
    <w:tbl>
      <w:tblPr>
        <w:tblW w:w="5000" w:type="pct"/>
        <w:tblCellMar>
          <w:left w:w="70" w:type="dxa"/>
          <w:right w:w="70" w:type="dxa"/>
        </w:tblCellMar>
        <w:tblLook w:val="04A0"/>
      </w:tblPr>
      <w:tblGrid>
        <w:gridCol w:w="3339"/>
        <w:gridCol w:w="1074"/>
        <w:gridCol w:w="1074"/>
        <w:gridCol w:w="1074"/>
        <w:gridCol w:w="503"/>
        <w:gridCol w:w="1074"/>
        <w:gridCol w:w="1074"/>
      </w:tblGrid>
      <w:tr w:rsidR="00C60A0B" w:rsidRPr="006009B8" w:rsidTr="00C60A0B">
        <w:trPr>
          <w:trHeight w:val="387"/>
        </w:trPr>
        <w:tc>
          <w:tcPr>
            <w:tcW w:w="1812" w:type="pct"/>
            <w:tcBorders>
              <w:top w:val="single" w:sz="4" w:space="0" w:color="auto"/>
              <w:left w:val="single" w:sz="4" w:space="0" w:color="auto"/>
              <w:bottom w:val="single" w:sz="4" w:space="0" w:color="152935"/>
              <w:right w:val="nil"/>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 </w:t>
            </w:r>
          </w:p>
        </w:tc>
        <w:tc>
          <w:tcPr>
            <w:tcW w:w="583" w:type="pct"/>
            <w:tcBorders>
              <w:top w:val="single" w:sz="4" w:space="0" w:color="auto"/>
              <w:left w:val="nil"/>
              <w:bottom w:val="single" w:sz="4" w:space="0" w:color="152935"/>
              <w:right w:val="single" w:sz="4" w:space="0" w:color="E0E0E0"/>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B</w:t>
            </w:r>
          </w:p>
        </w:tc>
        <w:tc>
          <w:tcPr>
            <w:tcW w:w="583" w:type="pct"/>
            <w:tcBorders>
              <w:top w:val="single" w:sz="4" w:space="0" w:color="auto"/>
              <w:left w:val="nil"/>
              <w:bottom w:val="single" w:sz="4" w:space="0" w:color="152935"/>
              <w:right w:val="single" w:sz="4" w:space="0" w:color="E0E0E0"/>
            </w:tcBorders>
            <w:shd w:val="clear" w:color="auto" w:fill="auto"/>
            <w:vAlign w:val="center"/>
            <w:hideMark/>
          </w:tcPr>
          <w:p w:rsidR="00C60A0B" w:rsidRPr="008619D2" w:rsidRDefault="00C60A0B" w:rsidP="008619D2">
            <w:pPr>
              <w:rPr>
                <w:sz w:val="18"/>
                <w:szCs w:val="18"/>
                <w:lang w:eastAsia="cs-CZ"/>
              </w:rPr>
            </w:pPr>
            <w:proofErr w:type="gramStart"/>
            <w:r w:rsidRPr="008619D2">
              <w:rPr>
                <w:sz w:val="18"/>
                <w:szCs w:val="18"/>
                <w:lang w:eastAsia="cs-CZ"/>
              </w:rPr>
              <w:t>S.E.</w:t>
            </w:r>
            <w:proofErr w:type="gramEnd"/>
          </w:p>
        </w:tc>
        <w:tc>
          <w:tcPr>
            <w:tcW w:w="583" w:type="pct"/>
            <w:tcBorders>
              <w:top w:val="single" w:sz="4" w:space="0" w:color="auto"/>
              <w:left w:val="nil"/>
              <w:bottom w:val="single" w:sz="4" w:space="0" w:color="152935"/>
              <w:right w:val="single" w:sz="4" w:space="0" w:color="E0E0E0"/>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Wald</w:t>
            </w:r>
          </w:p>
        </w:tc>
        <w:tc>
          <w:tcPr>
            <w:tcW w:w="273" w:type="pct"/>
            <w:tcBorders>
              <w:top w:val="single" w:sz="4" w:space="0" w:color="auto"/>
              <w:left w:val="nil"/>
              <w:bottom w:val="single" w:sz="4" w:space="0" w:color="152935"/>
              <w:right w:val="single" w:sz="4" w:space="0" w:color="E0E0E0"/>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df</w:t>
            </w:r>
          </w:p>
        </w:tc>
        <w:tc>
          <w:tcPr>
            <w:tcW w:w="583" w:type="pct"/>
            <w:tcBorders>
              <w:top w:val="single" w:sz="4" w:space="0" w:color="auto"/>
              <w:left w:val="nil"/>
              <w:bottom w:val="single" w:sz="4" w:space="0" w:color="152935"/>
              <w:right w:val="single" w:sz="4" w:space="0" w:color="E0E0E0"/>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Sig.</w:t>
            </w:r>
          </w:p>
        </w:tc>
        <w:tc>
          <w:tcPr>
            <w:tcW w:w="583" w:type="pct"/>
            <w:tcBorders>
              <w:top w:val="single" w:sz="4" w:space="0" w:color="auto"/>
              <w:left w:val="nil"/>
              <w:bottom w:val="single" w:sz="4" w:space="0" w:color="152935"/>
              <w:right w:val="single" w:sz="4" w:space="0" w:color="auto"/>
            </w:tcBorders>
            <w:shd w:val="clear" w:color="auto" w:fill="auto"/>
            <w:vAlign w:val="center"/>
            <w:hideMark/>
          </w:tcPr>
          <w:p w:rsidR="00C60A0B" w:rsidRPr="008619D2" w:rsidRDefault="00C60A0B" w:rsidP="008619D2">
            <w:pPr>
              <w:rPr>
                <w:sz w:val="18"/>
                <w:szCs w:val="18"/>
                <w:lang w:eastAsia="cs-CZ"/>
              </w:rPr>
            </w:pPr>
            <w:proofErr w:type="gramStart"/>
            <w:r w:rsidRPr="008619D2">
              <w:rPr>
                <w:sz w:val="18"/>
                <w:szCs w:val="18"/>
                <w:lang w:eastAsia="cs-CZ"/>
              </w:rPr>
              <w:t>Exp(B)</w:t>
            </w:r>
            <w:proofErr w:type="gramEnd"/>
          </w:p>
        </w:tc>
      </w:tr>
      <w:tr w:rsidR="00C60A0B" w:rsidRPr="006009B8" w:rsidTr="00C60A0B">
        <w:trPr>
          <w:trHeight w:val="387"/>
        </w:trPr>
        <w:tc>
          <w:tcPr>
            <w:tcW w:w="1812" w:type="pct"/>
            <w:tcBorders>
              <w:top w:val="nil"/>
              <w:left w:val="single" w:sz="4" w:space="0" w:color="auto"/>
              <w:bottom w:val="single" w:sz="4" w:space="0" w:color="AEAEAE"/>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Polarita primární EBITDA</w:t>
            </w:r>
          </w:p>
        </w:tc>
        <w:tc>
          <w:tcPr>
            <w:tcW w:w="583"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1,268</w:t>
            </w:r>
          </w:p>
        </w:tc>
        <w:tc>
          <w:tcPr>
            <w:tcW w:w="583"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0,644</w:t>
            </w:r>
          </w:p>
        </w:tc>
        <w:tc>
          <w:tcPr>
            <w:tcW w:w="583"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3,870</w:t>
            </w:r>
          </w:p>
        </w:tc>
        <w:tc>
          <w:tcPr>
            <w:tcW w:w="273"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w:t>
            </w:r>
          </w:p>
        </w:tc>
        <w:tc>
          <w:tcPr>
            <w:tcW w:w="583"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0,049</w:t>
            </w:r>
          </w:p>
        </w:tc>
        <w:tc>
          <w:tcPr>
            <w:tcW w:w="583" w:type="pct"/>
            <w:tcBorders>
              <w:top w:val="nil"/>
              <w:left w:val="nil"/>
              <w:bottom w:val="single" w:sz="4" w:space="0" w:color="AEAEAE"/>
              <w:right w:val="single" w:sz="4" w:space="0" w:color="auto"/>
            </w:tcBorders>
            <w:shd w:val="clear" w:color="auto" w:fill="auto"/>
            <w:noWrap/>
            <w:vAlign w:val="center"/>
            <w:hideMark/>
          </w:tcPr>
          <w:p w:rsidR="00C60A0B" w:rsidRPr="008619D2" w:rsidRDefault="00C60A0B" w:rsidP="008619D2">
            <w:pPr>
              <w:rPr>
                <w:b/>
                <w:bCs/>
                <w:color w:val="010205"/>
                <w:sz w:val="18"/>
                <w:szCs w:val="18"/>
                <w:lang w:eastAsia="cs-CZ"/>
              </w:rPr>
            </w:pPr>
            <w:r w:rsidRPr="008619D2">
              <w:rPr>
                <w:b/>
                <w:bCs/>
                <w:color w:val="010205"/>
                <w:sz w:val="18"/>
                <w:szCs w:val="18"/>
                <w:lang w:eastAsia="cs-CZ"/>
              </w:rPr>
              <w:t>3,553</w:t>
            </w:r>
          </w:p>
        </w:tc>
      </w:tr>
      <w:tr w:rsidR="00C60A0B" w:rsidRPr="006009B8" w:rsidTr="00C60A0B">
        <w:trPr>
          <w:trHeight w:val="387"/>
        </w:trPr>
        <w:tc>
          <w:tcPr>
            <w:tcW w:w="1812" w:type="pct"/>
            <w:tcBorders>
              <w:top w:val="nil"/>
              <w:left w:val="single" w:sz="4" w:space="0" w:color="auto"/>
              <w:bottom w:val="single" w:sz="4" w:space="0" w:color="AEAEAE"/>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Polarita salda primárních NSPK</w:t>
            </w:r>
          </w:p>
        </w:tc>
        <w:tc>
          <w:tcPr>
            <w:tcW w:w="583"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1,036</w:t>
            </w:r>
          </w:p>
        </w:tc>
        <w:tc>
          <w:tcPr>
            <w:tcW w:w="583"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0,702</w:t>
            </w:r>
          </w:p>
        </w:tc>
        <w:tc>
          <w:tcPr>
            <w:tcW w:w="583"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2,178</w:t>
            </w:r>
          </w:p>
        </w:tc>
        <w:tc>
          <w:tcPr>
            <w:tcW w:w="273"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w:t>
            </w:r>
          </w:p>
        </w:tc>
        <w:tc>
          <w:tcPr>
            <w:tcW w:w="583"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0,140</w:t>
            </w:r>
          </w:p>
        </w:tc>
        <w:tc>
          <w:tcPr>
            <w:tcW w:w="583" w:type="pct"/>
            <w:tcBorders>
              <w:top w:val="nil"/>
              <w:left w:val="nil"/>
              <w:bottom w:val="single" w:sz="4" w:space="0" w:color="AEAEAE"/>
              <w:right w:val="single" w:sz="4" w:space="0" w:color="auto"/>
            </w:tcBorders>
            <w:shd w:val="clear" w:color="auto" w:fill="auto"/>
            <w:noWrap/>
            <w:vAlign w:val="center"/>
            <w:hideMark/>
          </w:tcPr>
          <w:p w:rsidR="00C60A0B" w:rsidRPr="008619D2" w:rsidRDefault="00C60A0B" w:rsidP="008619D2">
            <w:pPr>
              <w:rPr>
                <w:b/>
                <w:bCs/>
                <w:color w:val="010205"/>
                <w:sz w:val="18"/>
                <w:szCs w:val="18"/>
                <w:lang w:eastAsia="cs-CZ"/>
              </w:rPr>
            </w:pPr>
            <w:r w:rsidRPr="008619D2">
              <w:rPr>
                <w:b/>
                <w:bCs/>
                <w:color w:val="010205"/>
                <w:sz w:val="18"/>
                <w:szCs w:val="18"/>
                <w:lang w:eastAsia="cs-CZ"/>
              </w:rPr>
              <w:t>2,818</w:t>
            </w:r>
          </w:p>
        </w:tc>
      </w:tr>
      <w:tr w:rsidR="00C60A0B" w:rsidRPr="006009B8" w:rsidTr="00C60A0B">
        <w:trPr>
          <w:trHeight w:val="387"/>
        </w:trPr>
        <w:tc>
          <w:tcPr>
            <w:tcW w:w="1812" w:type="pct"/>
            <w:tcBorders>
              <w:top w:val="nil"/>
              <w:left w:val="single" w:sz="4" w:space="0" w:color="auto"/>
              <w:bottom w:val="single" w:sz="4" w:space="0" w:color="auto"/>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Polarita vlastního kapitálu</w:t>
            </w:r>
          </w:p>
        </w:tc>
        <w:tc>
          <w:tcPr>
            <w:tcW w:w="583"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-0,215</w:t>
            </w:r>
          </w:p>
        </w:tc>
        <w:tc>
          <w:tcPr>
            <w:tcW w:w="583"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0,672</w:t>
            </w:r>
          </w:p>
        </w:tc>
        <w:tc>
          <w:tcPr>
            <w:tcW w:w="583"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0,102</w:t>
            </w:r>
          </w:p>
        </w:tc>
        <w:tc>
          <w:tcPr>
            <w:tcW w:w="273"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w:t>
            </w:r>
          </w:p>
        </w:tc>
        <w:tc>
          <w:tcPr>
            <w:tcW w:w="583"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0,749</w:t>
            </w:r>
          </w:p>
        </w:tc>
        <w:tc>
          <w:tcPr>
            <w:tcW w:w="583" w:type="pct"/>
            <w:tcBorders>
              <w:top w:val="nil"/>
              <w:left w:val="nil"/>
              <w:bottom w:val="single" w:sz="4" w:space="0" w:color="auto"/>
              <w:right w:val="single" w:sz="4" w:space="0" w:color="auto"/>
            </w:tcBorders>
            <w:shd w:val="clear" w:color="auto" w:fill="auto"/>
            <w:noWrap/>
            <w:vAlign w:val="center"/>
            <w:hideMark/>
          </w:tcPr>
          <w:p w:rsidR="00C60A0B" w:rsidRPr="008619D2" w:rsidRDefault="00C60A0B" w:rsidP="008619D2">
            <w:pPr>
              <w:rPr>
                <w:b/>
                <w:bCs/>
                <w:color w:val="010205"/>
                <w:sz w:val="18"/>
                <w:szCs w:val="18"/>
                <w:lang w:eastAsia="cs-CZ"/>
              </w:rPr>
            </w:pPr>
            <w:r w:rsidRPr="008619D2">
              <w:rPr>
                <w:b/>
                <w:bCs/>
                <w:color w:val="010205"/>
                <w:sz w:val="18"/>
                <w:szCs w:val="18"/>
                <w:lang w:eastAsia="cs-CZ"/>
              </w:rPr>
              <w:t>0,807</w:t>
            </w:r>
          </w:p>
        </w:tc>
      </w:tr>
      <w:tr w:rsidR="00C60A0B" w:rsidRPr="006009B8" w:rsidTr="00C60A0B">
        <w:trPr>
          <w:trHeight w:val="387"/>
        </w:trPr>
        <w:tc>
          <w:tcPr>
            <w:tcW w:w="1812" w:type="pct"/>
            <w:tcBorders>
              <w:top w:val="nil"/>
              <w:left w:val="single" w:sz="4" w:space="0" w:color="auto"/>
              <w:bottom w:val="single" w:sz="4" w:space="0" w:color="auto"/>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Konstanta</w:t>
            </w:r>
          </w:p>
        </w:tc>
        <w:tc>
          <w:tcPr>
            <w:tcW w:w="583"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1,120</w:t>
            </w:r>
          </w:p>
        </w:tc>
        <w:tc>
          <w:tcPr>
            <w:tcW w:w="583"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0,412</w:t>
            </w:r>
          </w:p>
        </w:tc>
        <w:tc>
          <w:tcPr>
            <w:tcW w:w="583"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7,391</w:t>
            </w:r>
          </w:p>
        </w:tc>
        <w:tc>
          <w:tcPr>
            <w:tcW w:w="273"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w:t>
            </w:r>
          </w:p>
        </w:tc>
        <w:tc>
          <w:tcPr>
            <w:tcW w:w="583"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0,007</w:t>
            </w:r>
          </w:p>
        </w:tc>
        <w:tc>
          <w:tcPr>
            <w:tcW w:w="583" w:type="pct"/>
            <w:tcBorders>
              <w:top w:val="nil"/>
              <w:left w:val="nil"/>
              <w:bottom w:val="single" w:sz="4" w:space="0" w:color="auto"/>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3,064</w:t>
            </w:r>
          </w:p>
        </w:tc>
      </w:tr>
    </w:tbl>
    <w:p w:rsidR="00A707FB" w:rsidRDefault="00A707FB" w:rsidP="00A707FB">
      <w:pPr>
        <w:spacing w:after="240"/>
      </w:pPr>
    </w:p>
    <w:p w:rsidR="00C60A0B" w:rsidRPr="00EC5AA6" w:rsidRDefault="00C60A0B" w:rsidP="00A707FB">
      <w:r>
        <w:t>Z tabulky je patrné, že největší vliv má stále polarita primární EBITDA, u které je poměr šancí na úrovni 3,553. Na základě oddělené analýzy byl poměr šancí 3,846</w:t>
      </w:r>
      <w:r w:rsidRPr="00EC5AA6">
        <w:t>, což indikuje, že u podniků se zápornou primární EBITDA je téměř 4krát větší šance, že budou mít deficit nutné hotovosti, pak na základě logistické regrese při zahrnutí všech analyzovaných proměnných je takto šance cca 3,5krát. U polarity primárních NSPK byla na základě oddělené analýzy je tato šance cca 3,2 a na základě logistické regrese při zahrnutí všech analyzovaných proměnných představuje hodnotu cca 2,9. U polarity vlastního kapitálu je situace taková, že na základě oddělené analýzy je tato šance 1,25 a na základě logistické regrese při zahrnutí všech analyzovaných proměnných představuje hodnotu cca 0,8. Je vidět, že na základě logistické regrese při zahrnutí všech analyzovaných proměnných došlo u všech ukazatelů ke snížení poměru šancí, u polarity vlastního kapitálu pak ke snížení na hodnotu nižší než jedna. Při použití logistické regrese je však možné sledovat také statistickou významnost jednotlivých finančních charakteristik. Ukazuje se, že na 5% hladině významnosti se nachází pouze polarita primární EBITDA. Naopak, polarita vlastního kapitálu se při použití logistické regrese se zahrnutím všech vybraných finančních charakteristik ukazuje jako statisticky nevýznamná.</w:t>
      </w:r>
    </w:p>
    <w:p w:rsidR="00E76418" w:rsidRPr="00E76418" w:rsidRDefault="00E76418" w:rsidP="00CD5E97">
      <w:pPr>
        <w:pStyle w:val="Odstavecseseznamem"/>
        <w:keepNext/>
        <w:keepLines/>
        <w:spacing w:before="40" w:after="0"/>
        <w:ind w:left="1440"/>
        <w:contextualSpacing w:val="0"/>
        <w:outlineLvl w:val="3"/>
        <w:rPr>
          <w:rFonts w:eastAsiaTheme="majorEastAsia" w:cstheme="majorBidi"/>
          <w:i/>
          <w:iCs/>
          <w:vanish/>
        </w:rPr>
      </w:pPr>
    </w:p>
    <w:p w:rsidR="00C60A0B" w:rsidRDefault="00C60A0B" w:rsidP="00CD5E97">
      <w:pPr>
        <w:pStyle w:val="Nadpis4"/>
        <w:numPr>
          <w:ilvl w:val="3"/>
          <w:numId w:val="15"/>
        </w:numPr>
      </w:pPr>
      <w:r>
        <w:t>Analýza indikátoru předlužení</w:t>
      </w:r>
    </w:p>
    <w:p w:rsidR="00CD5E97" w:rsidRPr="00CD5E97" w:rsidRDefault="00CD5E97" w:rsidP="00CD5E97"/>
    <w:p w:rsidR="00C60A0B" w:rsidRDefault="00C60A0B" w:rsidP="00C60A0B">
      <w:r>
        <w:t>Stejným způsobem, jako byla provedena analýza vlivů na deficit nutné hotovosti jako indikátor platební neschopnosti, byla provedena analýza vlivů na polaritu vlastního kapitálu, jako indikátor předlužení.</w:t>
      </w:r>
    </w:p>
    <w:p w:rsidR="008619D2" w:rsidRPr="00672A22" w:rsidRDefault="008619D2" w:rsidP="00C60A0B"/>
    <w:p w:rsidR="00C60A0B" w:rsidRPr="00B214B3" w:rsidRDefault="00C60A0B" w:rsidP="00C60A0B">
      <w:pPr>
        <w:pStyle w:val="Titulek"/>
      </w:pPr>
      <w:bookmarkStart w:id="86" w:name="_Toc31054806"/>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30</w:t>
      </w:r>
      <w:r w:rsidR="00163A91">
        <w:rPr>
          <w:noProof/>
        </w:rPr>
        <w:fldChar w:fldCharType="end"/>
      </w:r>
      <w:r>
        <w:t xml:space="preserve"> – Absolutní a relativní četnost polarity vlastního kapitálu</w:t>
      </w:r>
      <w:bookmarkEnd w:id="86"/>
    </w:p>
    <w:tbl>
      <w:tblPr>
        <w:tblW w:w="5000" w:type="pct"/>
        <w:tblCellMar>
          <w:left w:w="70" w:type="dxa"/>
          <w:right w:w="70" w:type="dxa"/>
        </w:tblCellMar>
        <w:tblLook w:val="04A0"/>
      </w:tblPr>
      <w:tblGrid>
        <w:gridCol w:w="4672"/>
        <w:gridCol w:w="2270"/>
        <w:gridCol w:w="2270"/>
      </w:tblGrid>
      <w:tr w:rsidR="00C60A0B" w:rsidRPr="00B214B3" w:rsidTr="00C60A0B">
        <w:trPr>
          <w:trHeight w:val="419"/>
        </w:trPr>
        <w:tc>
          <w:tcPr>
            <w:tcW w:w="2535" w:type="pct"/>
            <w:tcBorders>
              <w:top w:val="single" w:sz="4" w:space="0" w:color="auto"/>
              <w:left w:val="single" w:sz="4" w:space="0" w:color="auto"/>
              <w:bottom w:val="nil"/>
              <w:right w:val="single" w:sz="4" w:space="0" w:color="auto"/>
            </w:tcBorders>
            <w:shd w:val="clear" w:color="auto" w:fill="auto"/>
            <w:noWrap/>
            <w:vAlign w:val="center"/>
            <w:hideMark/>
          </w:tcPr>
          <w:p w:rsidR="00C60A0B" w:rsidRPr="008619D2" w:rsidRDefault="00C60A0B" w:rsidP="008619D2">
            <w:pPr>
              <w:rPr>
                <w:sz w:val="18"/>
                <w:szCs w:val="18"/>
                <w:lang w:eastAsia="cs-CZ"/>
              </w:rPr>
            </w:pPr>
            <w:r w:rsidRPr="008619D2">
              <w:rPr>
                <w:sz w:val="18"/>
                <w:szCs w:val="18"/>
                <w:lang w:eastAsia="cs-CZ"/>
              </w:rPr>
              <w:t> </w:t>
            </w:r>
          </w:p>
        </w:tc>
        <w:tc>
          <w:tcPr>
            <w:tcW w:w="1232" w:type="pct"/>
            <w:tcBorders>
              <w:top w:val="single" w:sz="4" w:space="0" w:color="auto"/>
              <w:left w:val="nil"/>
              <w:bottom w:val="single" w:sz="4" w:space="0" w:color="152935"/>
              <w:right w:val="single" w:sz="4" w:space="0" w:color="E0E0E0"/>
            </w:tcBorders>
            <w:shd w:val="clear" w:color="auto" w:fill="auto"/>
            <w:vAlign w:val="center"/>
            <w:hideMark/>
          </w:tcPr>
          <w:p w:rsidR="00C60A0B" w:rsidRPr="008619D2" w:rsidRDefault="00C60A0B" w:rsidP="008619D2">
            <w:pPr>
              <w:rPr>
                <w:rFonts w:ascii="Arial" w:hAnsi="Arial" w:cs="Arial"/>
                <w:color w:val="264A60"/>
                <w:sz w:val="18"/>
                <w:szCs w:val="18"/>
                <w:lang w:eastAsia="cs-CZ"/>
              </w:rPr>
            </w:pPr>
            <w:r w:rsidRPr="008619D2">
              <w:rPr>
                <w:rFonts w:ascii="Arial" w:hAnsi="Arial" w:cs="Arial"/>
                <w:color w:val="264A60"/>
                <w:sz w:val="18"/>
                <w:szCs w:val="18"/>
                <w:lang w:eastAsia="cs-CZ"/>
              </w:rPr>
              <w:t>Absolutní četnost</w:t>
            </w:r>
          </w:p>
        </w:tc>
        <w:tc>
          <w:tcPr>
            <w:tcW w:w="1232" w:type="pct"/>
            <w:tcBorders>
              <w:top w:val="single" w:sz="4" w:space="0" w:color="auto"/>
              <w:left w:val="nil"/>
              <w:bottom w:val="single" w:sz="4" w:space="0" w:color="152935"/>
              <w:right w:val="single" w:sz="4" w:space="0" w:color="auto"/>
            </w:tcBorders>
            <w:shd w:val="clear" w:color="auto" w:fill="auto"/>
            <w:vAlign w:val="center"/>
            <w:hideMark/>
          </w:tcPr>
          <w:p w:rsidR="00C60A0B" w:rsidRPr="008619D2" w:rsidRDefault="00C60A0B" w:rsidP="008619D2">
            <w:pPr>
              <w:rPr>
                <w:rFonts w:ascii="Arial" w:hAnsi="Arial" w:cs="Arial"/>
                <w:color w:val="264A60"/>
                <w:sz w:val="18"/>
                <w:szCs w:val="18"/>
                <w:lang w:eastAsia="cs-CZ"/>
              </w:rPr>
            </w:pPr>
            <w:r w:rsidRPr="008619D2">
              <w:rPr>
                <w:rFonts w:ascii="Arial" w:hAnsi="Arial" w:cs="Arial"/>
                <w:color w:val="264A60"/>
                <w:sz w:val="18"/>
                <w:szCs w:val="18"/>
                <w:lang w:eastAsia="cs-CZ"/>
              </w:rPr>
              <w:t>Relativní četnost</w:t>
            </w:r>
          </w:p>
        </w:tc>
      </w:tr>
      <w:tr w:rsidR="00C60A0B" w:rsidRPr="00B214B3" w:rsidTr="00C60A0B">
        <w:trPr>
          <w:trHeight w:val="423"/>
        </w:trPr>
        <w:tc>
          <w:tcPr>
            <w:tcW w:w="2535" w:type="pct"/>
            <w:tcBorders>
              <w:top w:val="single" w:sz="4" w:space="0" w:color="152935"/>
              <w:left w:val="single" w:sz="4" w:space="0" w:color="auto"/>
              <w:bottom w:val="single" w:sz="4" w:space="0" w:color="AEAEAE"/>
              <w:right w:val="single" w:sz="4" w:space="0" w:color="auto"/>
            </w:tcBorders>
            <w:shd w:val="clear" w:color="000000" w:fill="E0E0E0"/>
            <w:vAlign w:val="center"/>
            <w:hideMark/>
          </w:tcPr>
          <w:p w:rsidR="00C60A0B" w:rsidRPr="008619D2" w:rsidRDefault="00C60A0B" w:rsidP="008619D2">
            <w:pPr>
              <w:rPr>
                <w:rFonts w:ascii="Arial" w:hAnsi="Arial" w:cs="Arial"/>
                <w:color w:val="264A60"/>
                <w:sz w:val="18"/>
                <w:szCs w:val="18"/>
                <w:lang w:eastAsia="cs-CZ"/>
              </w:rPr>
            </w:pPr>
            <w:r w:rsidRPr="008619D2">
              <w:rPr>
                <w:rFonts w:ascii="Arial" w:hAnsi="Arial" w:cs="Arial"/>
                <w:color w:val="264A60"/>
                <w:sz w:val="18"/>
                <w:szCs w:val="18"/>
                <w:lang w:eastAsia="cs-CZ"/>
              </w:rPr>
              <w:t>Kladný vlastní kapitál</w:t>
            </w:r>
          </w:p>
        </w:tc>
        <w:tc>
          <w:tcPr>
            <w:tcW w:w="1232"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rFonts w:ascii="Arial" w:hAnsi="Arial" w:cs="Arial"/>
                <w:color w:val="010205"/>
                <w:sz w:val="18"/>
                <w:szCs w:val="18"/>
                <w:lang w:eastAsia="cs-CZ"/>
              </w:rPr>
            </w:pPr>
            <w:r w:rsidRPr="008619D2">
              <w:rPr>
                <w:rFonts w:ascii="Arial" w:hAnsi="Arial" w:cs="Arial"/>
                <w:color w:val="010205"/>
                <w:sz w:val="18"/>
                <w:szCs w:val="18"/>
                <w:lang w:eastAsia="cs-CZ"/>
              </w:rPr>
              <w:t>76</w:t>
            </w:r>
          </w:p>
        </w:tc>
        <w:tc>
          <w:tcPr>
            <w:tcW w:w="1232" w:type="pct"/>
            <w:tcBorders>
              <w:top w:val="nil"/>
              <w:left w:val="nil"/>
              <w:bottom w:val="single" w:sz="4" w:space="0" w:color="AEAEAE"/>
              <w:right w:val="single" w:sz="4" w:space="0" w:color="auto"/>
            </w:tcBorders>
            <w:shd w:val="clear" w:color="auto" w:fill="auto"/>
            <w:noWrap/>
            <w:vAlign w:val="center"/>
            <w:hideMark/>
          </w:tcPr>
          <w:p w:rsidR="00C60A0B" w:rsidRPr="008619D2" w:rsidRDefault="00C60A0B" w:rsidP="008619D2">
            <w:pPr>
              <w:rPr>
                <w:rFonts w:ascii="Arial" w:hAnsi="Arial" w:cs="Arial"/>
                <w:color w:val="010205"/>
                <w:sz w:val="18"/>
                <w:szCs w:val="18"/>
                <w:lang w:eastAsia="cs-CZ"/>
              </w:rPr>
            </w:pPr>
            <w:r w:rsidRPr="008619D2">
              <w:rPr>
                <w:rFonts w:ascii="Arial" w:hAnsi="Arial" w:cs="Arial"/>
                <w:color w:val="010205"/>
                <w:sz w:val="18"/>
                <w:szCs w:val="18"/>
                <w:lang w:eastAsia="cs-CZ"/>
              </w:rPr>
              <w:t>67,3 %</w:t>
            </w:r>
          </w:p>
        </w:tc>
      </w:tr>
      <w:tr w:rsidR="00C60A0B" w:rsidRPr="00B214B3" w:rsidTr="00C60A0B">
        <w:trPr>
          <w:trHeight w:val="423"/>
        </w:trPr>
        <w:tc>
          <w:tcPr>
            <w:tcW w:w="2535" w:type="pct"/>
            <w:tcBorders>
              <w:top w:val="nil"/>
              <w:left w:val="single" w:sz="4" w:space="0" w:color="auto"/>
              <w:bottom w:val="single" w:sz="4" w:space="0" w:color="AEAEAE"/>
              <w:right w:val="single" w:sz="4" w:space="0" w:color="auto"/>
            </w:tcBorders>
            <w:shd w:val="clear" w:color="000000" w:fill="E0E0E0"/>
            <w:vAlign w:val="center"/>
            <w:hideMark/>
          </w:tcPr>
          <w:p w:rsidR="00C60A0B" w:rsidRPr="008619D2" w:rsidRDefault="00C60A0B" w:rsidP="008619D2">
            <w:pPr>
              <w:rPr>
                <w:rFonts w:ascii="Arial" w:hAnsi="Arial" w:cs="Arial"/>
                <w:color w:val="264A60"/>
                <w:sz w:val="18"/>
                <w:szCs w:val="18"/>
                <w:lang w:eastAsia="cs-CZ"/>
              </w:rPr>
            </w:pPr>
            <w:r w:rsidRPr="008619D2">
              <w:rPr>
                <w:rFonts w:ascii="Arial" w:hAnsi="Arial" w:cs="Arial"/>
                <w:color w:val="264A60"/>
                <w:sz w:val="18"/>
                <w:szCs w:val="18"/>
                <w:lang w:eastAsia="cs-CZ"/>
              </w:rPr>
              <w:t>Záporný vlastní kapitál</w:t>
            </w:r>
          </w:p>
        </w:tc>
        <w:tc>
          <w:tcPr>
            <w:tcW w:w="1232"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rFonts w:ascii="Arial" w:hAnsi="Arial" w:cs="Arial"/>
                <w:color w:val="010205"/>
                <w:sz w:val="18"/>
                <w:szCs w:val="18"/>
                <w:lang w:eastAsia="cs-CZ"/>
              </w:rPr>
            </w:pPr>
            <w:r w:rsidRPr="008619D2">
              <w:rPr>
                <w:rFonts w:ascii="Arial" w:hAnsi="Arial" w:cs="Arial"/>
                <w:color w:val="010205"/>
                <w:sz w:val="18"/>
                <w:szCs w:val="18"/>
                <w:lang w:eastAsia="cs-CZ"/>
              </w:rPr>
              <w:t>37</w:t>
            </w:r>
          </w:p>
        </w:tc>
        <w:tc>
          <w:tcPr>
            <w:tcW w:w="1232" w:type="pct"/>
            <w:tcBorders>
              <w:top w:val="nil"/>
              <w:left w:val="nil"/>
              <w:bottom w:val="single" w:sz="4" w:space="0" w:color="AEAEAE"/>
              <w:right w:val="single" w:sz="4" w:space="0" w:color="auto"/>
            </w:tcBorders>
            <w:shd w:val="clear" w:color="auto" w:fill="auto"/>
            <w:noWrap/>
            <w:vAlign w:val="center"/>
            <w:hideMark/>
          </w:tcPr>
          <w:p w:rsidR="00C60A0B" w:rsidRPr="008619D2" w:rsidRDefault="00C60A0B" w:rsidP="008619D2">
            <w:pPr>
              <w:rPr>
                <w:rFonts w:ascii="Arial" w:hAnsi="Arial" w:cs="Arial"/>
                <w:color w:val="010205"/>
                <w:sz w:val="18"/>
                <w:szCs w:val="18"/>
                <w:lang w:eastAsia="cs-CZ"/>
              </w:rPr>
            </w:pPr>
            <w:r w:rsidRPr="008619D2">
              <w:rPr>
                <w:rFonts w:ascii="Arial" w:hAnsi="Arial" w:cs="Arial"/>
                <w:color w:val="010205"/>
                <w:sz w:val="18"/>
                <w:szCs w:val="18"/>
                <w:lang w:eastAsia="cs-CZ"/>
              </w:rPr>
              <w:t>32,7 %</w:t>
            </w:r>
          </w:p>
        </w:tc>
      </w:tr>
      <w:tr w:rsidR="00C60A0B" w:rsidRPr="00B214B3" w:rsidTr="00C60A0B">
        <w:trPr>
          <w:trHeight w:val="423"/>
        </w:trPr>
        <w:tc>
          <w:tcPr>
            <w:tcW w:w="2535" w:type="pct"/>
            <w:tcBorders>
              <w:top w:val="nil"/>
              <w:left w:val="single" w:sz="4" w:space="0" w:color="auto"/>
              <w:bottom w:val="single" w:sz="4" w:space="0" w:color="auto"/>
              <w:right w:val="single" w:sz="4" w:space="0" w:color="auto"/>
            </w:tcBorders>
            <w:shd w:val="clear" w:color="000000" w:fill="E0E0E0"/>
            <w:vAlign w:val="center"/>
            <w:hideMark/>
          </w:tcPr>
          <w:p w:rsidR="00C60A0B" w:rsidRPr="008619D2" w:rsidRDefault="00C60A0B" w:rsidP="008619D2">
            <w:pPr>
              <w:rPr>
                <w:rFonts w:ascii="Arial" w:hAnsi="Arial" w:cs="Arial"/>
                <w:color w:val="264A60"/>
                <w:sz w:val="18"/>
                <w:szCs w:val="18"/>
                <w:lang w:eastAsia="cs-CZ"/>
              </w:rPr>
            </w:pPr>
            <w:r w:rsidRPr="008619D2">
              <w:rPr>
                <w:rFonts w:ascii="Arial" w:hAnsi="Arial" w:cs="Arial"/>
                <w:color w:val="264A60"/>
                <w:sz w:val="18"/>
                <w:szCs w:val="18"/>
                <w:lang w:eastAsia="cs-CZ"/>
              </w:rPr>
              <w:t>Celkem</w:t>
            </w:r>
          </w:p>
        </w:tc>
        <w:tc>
          <w:tcPr>
            <w:tcW w:w="1232"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rFonts w:ascii="Arial" w:hAnsi="Arial" w:cs="Arial"/>
                <w:color w:val="010205"/>
                <w:sz w:val="18"/>
                <w:szCs w:val="18"/>
                <w:lang w:eastAsia="cs-CZ"/>
              </w:rPr>
            </w:pPr>
            <w:r w:rsidRPr="008619D2">
              <w:rPr>
                <w:rFonts w:ascii="Arial" w:hAnsi="Arial" w:cs="Arial"/>
                <w:color w:val="010205"/>
                <w:sz w:val="18"/>
                <w:szCs w:val="18"/>
                <w:lang w:eastAsia="cs-CZ"/>
              </w:rPr>
              <w:t>113</w:t>
            </w:r>
          </w:p>
        </w:tc>
        <w:tc>
          <w:tcPr>
            <w:tcW w:w="1232" w:type="pct"/>
            <w:tcBorders>
              <w:top w:val="nil"/>
              <w:left w:val="nil"/>
              <w:bottom w:val="single" w:sz="4" w:space="0" w:color="auto"/>
              <w:right w:val="single" w:sz="4" w:space="0" w:color="auto"/>
            </w:tcBorders>
            <w:shd w:val="clear" w:color="auto" w:fill="auto"/>
            <w:noWrap/>
            <w:vAlign w:val="center"/>
            <w:hideMark/>
          </w:tcPr>
          <w:p w:rsidR="00C60A0B" w:rsidRPr="008619D2" w:rsidRDefault="00C60A0B" w:rsidP="008619D2">
            <w:pPr>
              <w:rPr>
                <w:rFonts w:ascii="Arial" w:hAnsi="Arial" w:cs="Arial"/>
                <w:color w:val="010205"/>
                <w:sz w:val="18"/>
                <w:szCs w:val="18"/>
                <w:lang w:eastAsia="cs-CZ"/>
              </w:rPr>
            </w:pPr>
            <w:r w:rsidRPr="008619D2">
              <w:rPr>
                <w:rFonts w:ascii="Arial" w:hAnsi="Arial" w:cs="Arial"/>
                <w:color w:val="010205"/>
                <w:sz w:val="18"/>
                <w:szCs w:val="18"/>
                <w:lang w:eastAsia="cs-CZ"/>
              </w:rPr>
              <w:t>100,0 %</w:t>
            </w:r>
          </w:p>
        </w:tc>
      </w:tr>
    </w:tbl>
    <w:p w:rsidR="00E76418" w:rsidRDefault="00E76418" w:rsidP="00C60A0B"/>
    <w:p w:rsidR="00C60A0B" w:rsidRDefault="00C60A0B" w:rsidP="008619D2">
      <w:r>
        <w:t>Jak plyne z analýzy rozšířeného datového souboru, nadále většina podniků vykazovala kladný vlastní kapitál. Z toho lze usoudit, že u úpadkových podniků nebyl vlastní kapitál jako indikátor předlužení významným jevem. Vysvětlením může být, že většina úpadku v České republice je zjištěna pro platební neschopnost.</w:t>
      </w:r>
    </w:p>
    <w:p w:rsidR="00C60A0B" w:rsidRPr="00C242E5" w:rsidRDefault="00C60A0B" w:rsidP="008619D2">
      <w:r w:rsidRPr="00C242E5">
        <w:lastRenderedPageBreak/>
        <w:t>Následující analýza pomocí poměru šancí ukazuje (stejně jako v předchozím případě), kolikrát se zvýší šance přechodu záporného vlastního kapitálu při přechodu vysvětlující proměnné do záporné hodnoty. Z modelu logistické regrese lze pak rovněž (stejně jako v předchozím případě) identifikovat statistickou významnost vlivu jednotlivých vysvětlujících proměnných, a to pomocí již zmíněné Waldovy statistiky.</w:t>
      </w:r>
    </w:p>
    <w:p w:rsidR="00C60A0B" w:rsidRDefault="00C60A0B" w:rsidP="00C60A0B">
      <w:pPr>
        <w:rPr>
          <w:color w:val="FF0000"/>
        </w:rPr>
      </w:pPr>
    </w:p>
    <w:p w:rsidR="00C60A0B" w:rsidRDefault="00C60A0B" w:rsidP="00C60A0B">
      <w:pPr>
        <w:pStyle w:val="Titulek"/>
        <w:rPr>
          <w:color w:val="FF0000"/>
        </w:rPr>
      </w:pPr>
      <w:bookmarkStart w:id="87" w:name="_Toc31054807"/>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31</w:t>
      </w:r>
      <w:r w:rsidR="00163A91">
        <w:rPr>
          <w:noProof/>
        </w:rPr>
        <w:fldChar w:fldCharType="end"/>
      </w:r>
      <w:r>
        <w:t xml:space="preserve"> – Relativní četnosti polarity vlastního kapitálu a ostatních ukazatelů</w:t>
      </w:r>
      <w:bookmarkEnd w:id="87"/>
    </w:p>
    <w:tbl>
      <w:tblPr>
        <w:tblW w:w="5000" w:type="pct"/>
        <w:tblCellMar>
          <w:left w:w="70" w:type="dxa"/>
          <w:right w:w="70" w:type="dxa"/>
        </w:tblCellMar>
        <w:tblLook w:val="04A0"/>
      </w:tblPr>
      <w:tblGrid>
        <w:gridCol w:w="2804"/>
        <w:gridCol w:w="2808"/>
        <w:gridCol w:w="1842"/>
        <w:gridCol w:w="1758"/>
      </w:tblGrid>
      <w:tr w:rsidR="00C60A0B" w:rsidRPr="008619D2" w:rsidTr="00C60A0B">
        <w:trPr>
          <w:trHeight w:val="476"/>
        </w:trPr>
        <w:tc>
          <w:tcPr>
            <w:tcW w:w="1522" w:type="pct"/>
            <w:tcBorders>
              <w:top w:val="single" w:sz="4" w:space="0" w:color="auto"/>
              <w:left w:val="single" w:sz="4" w:space="0" w:color="auto"/>
              <w:bottom w:val="single" w:sz="4" w:space="0" w:color="152935"/>
              <w:right w:val="nil"/>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 </w:t>
            </w:r>
          </w:p>
        </w:tc>
        <w:tc>
          <w:tcPr>
            <w:tcW w:w="1524" w:type="pct"/>
            <w:tcBorders>
              <w:top w:val="single" w:sz="4" w:space="0" w:color="auto"/>
              <w:left w:val="nil"/>
              <w:bottom w:val="single" w:sz="4" w:space="0" w:color="152935"/>
              <w:right w:val="nil"/>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 </w:t>
            </w:r>
          </w:p>
        </w:tc>
        <w:tc>
          <w:tcPr>
            <w:tcW w:w="1000" w:type="pct"/>
            <w:tcBorders>
              <w:top w:val="single" w:sz="4" w:space="0" w:color="auto"/>
              <w:left w:val="nil"/>
              <w:bottom w:val="single" w:sz="4" w:space="0" w:color="152935"/>
              <w:right w:val="nil"/>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Kladný vlastní kapitál</w:t>
            </w:r>
          </w:p>
        </w:tc>
        <w:tc>
          <w:tcPr>
            <w:tcW w:w="954" w:type="pct"/>
            <w:tcBorders>
              <w:top w:val="single" w:sz="4" w:space="0" w:color="auto"/>
              <w:left w:val="single" w:sz="4" w:space="0" w:color="E0E0E0"/>
              <w:bottom w:val="single" w:sz="4" w:space="0" w:color="152935"/>
              <w:right w:val="single" w:sz="4" w:space="0" w:color="auto"/>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Záporný vlastní kapitál</w:t>
            </w:r>
          </w:p>
        </w:tc>
      </w:tr>
      <w:tr w:rsidR="00C60A0B" w:rsidRPr="008619D2" w:rsidTr="00C60A0B">
        <w:trPr>
          <w:trHeight w:val="507"/>
        </w:trPr>
        <w:tc>
          <w:tcPr>
            <w:tcW w:w="1522" w:type="pct"/>
            <w:vMerge w:val="restart"/>
            <w:tcBorders>
              <w:top w:val="nil"/>
              <w:left w:val="single" w:sz="4" w:space="0" w:color="auto"/>
              <w:bottom w:val="single" w:sz="4" w:space="0" w:color="AEAEAE"/>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Polarita primární EBITDA</w:t>
            </w:r>
          </w:p>
        </w:tc>
        <w:tc>
          <w:tcPr>
            <w:tcW w:w="1524" w:type="pct"/>
            <w:tcBorders>
              <w:top w:val="nil"/>
              <w:left w:val="nil"/>
              <w:bottom w:val="single" w:sz="4" w:space="0" w:color="AEAEAE"/>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Kladná primární EBITDA</w:t>
            </w:r>
          </w:p>
        </w:tc>
        <w:tc>
          <w:tcPr>
            <w:tcW w:w="1000" w:type="pct"/>
            <w:tcBorders>
              <w:top w:val="nil"/>
              <w:left w:val="nil"/>
              <w:bottom w:val="single" w:sz="4" w:space="0" w:color="AEAEAE"/>
              <w:right w:val="nil"/>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77,6 %</w:t>
            </w:r>
          </w:p>
        </w:tc>
        <w:tc>
          <w:tcPr>
            <w:tcW w:w="954" w:type="pct"/>
            <w:tcBorders>
              <w:top w:val="nil"/>
              <w:left w:val="single" w:sz="4" w:space="0" w:color="E0E0E0"/>
              <w:bottom w:val="single" w:sz="4" w:space="0" w:color="AEAEAE"/>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22,4 %</w:t>
            </w:r>
          </w:p>
        </w:tc>
      </w:tr>
      <w:tr w:rsidR="00C60A0B" w:rsidRPr="008619D2" w:rsidTr="00C60A0B">
        <w:trPr>
          <w:trHeight w:val="483"/>
        </w:trPr>
        <w:tc>
          <w:tcPr>
            <w:tcW w:w="1522" w:type="pct"/>
            <w:vMerge/>
            <w:tcBorders>
              <w:top w:val="nil"/>
              <w:left w:val="single" w:sz="4" w:space="0" w:color="auto"/>
              <w:bottom w:val="single" w:sz="4" w:space="0" w:color="AEAEAE"/>
              <w:right w:val="nil"/>
            </w:tcBorders>
            <w:vAlign w:val="center"/>
            <w:hideMark/>
          </w:tcPr>
          <w:p w:rsidR="00C60A0B" w:rsidRPr="008619D2" w:rsidRDefault="00C60A0B" w:rsidP="008619D2">
            <w:pPr>
              <w:rPr>
                <w:sz w:val="18"/>
                <w:szCs w:val="18"/>
                <w:lang w:eastAsia="cs-CZ"/>
              </w:rPr>
            </w:pPr>
          </w:p>
        </w:tc>
        <w:tc>
          <w:tcPr>
            <w:tcW w:w="1524" w:type="pct"/>
            <w:tcBorders>
              <w:top w:val="nil"/>
              <w:left w:val="nil"/>
              <w:bottom w:val="single" w:sz="4" w:space="0" w:color="AEAEAE"/>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Záporná primární EBITDA</w:t>
            </w:r>
          </w:p>
        </w:tc>
        <w:tc>
          <w:tcPr>
            <w:tcW w:w="1000" w:type="pct"/>
            <w:tcBorders>
              <w:top w:val="nil"/>
              <w:left w:val="nil"/>
              <w:bottom w:val="single" w:sz="4" w:space="0" w:color="AEAEAE"/>
              <w:right w:val="nil"/>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59,4 %</w:t>
            </w:r>
          </w:p>
        </w:tc>
        <w:tc>
          <w:tcPr>
            <w:tcW w:w="954" w:type="pct"/>
            <w:tcBorders>
              <w:top w:val="nil"/>
              <w:left w:val="single" w:sz="4" w:space="0" w:color="E0E0E0"/>
              <w:bottom w:val="single" w:sz="4" w:space="0" w:color="AEAEAE"/>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40,6 %</w:t>
            </w:r>
          </w:p>
        </w:tc>
      </w:tr>
      <w:tr w:rsidR="00C60A0B" w:rsidRPr="008619D2" w:rsidTr="00C60A0B">
        <w:trPr>
          <w:trHeight w:val="476"/>
        </w:trPr>
        <w:tc>
          <w:tcPr>
            <w:tcW w:w="1522" w:type="pct"/>
            <w:vMerge w:val="restart"/>
            <w:tcBorders>
              <w:top w:val="nil"/>
              <w:left w:val="single" w:sz="4" w:space="0" w:color="auto"/>
              <w:bottom w:val="single" w:sz="4" w:space="0" w:color="AEAEAE"/>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Polarita salda primárních NSPK</w:t>
            </w:r>
          </w:p>
        </w:tc>
        <w:tc>
          <w:tcPr>
            <w:tcW w:w="1524" w:type="pct"/>
            <w:tcBorders>
              <w:top w:val="nil"/>
              <w:left w:val="nil"/>
              <w:bottom w:val="single" w:sz="4" w:space="0" w:color="AEAEAE"/>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Kladné saldo primárních NSPK</w:t>
            </w:r>
          </w:p>
        </w:tc>
        <w:tc>
          <w:tcPr>
            <w:tcW w:w="1000" w:type="pct"/>
            <w:tcBorders>
              <w:top w:val="nil"/>
              <w:left w:val="nil"/>
              <w:bottom w:val="single" w:sz="4" w:space="0" w:color="AEAEAE"/>
              <w:right w:val="nil"/>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75,0 %</w:t>
            </w:r>
          </w:p>
        </w:tc>
        <w:tc>
          <w:tcPr>
            <w:tcW w:w="954" w:type="pct"/>
            <w:tcBorders>
              <w:top w:val="nil"/>
              <w:left w:val="single" w:sz="4" w:space="0" w:color="E0E0E0"/>
              <w:bottom w:val="single" w:sz="4" w:space="0" w:color="AEAEAE"/>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25,0 %</w:t>
            </w:r>
          </w:p>
        </w:tc>
      </w:tr>
      <w:tr w:rsidR="00C60A0B" w:rsidRPr="008619D2" w:rsidTr="00C60A0B">
        <w:trPr>
          <w:trHeight w:val="476"/>
        </w:trPr>
        <w:tc>
          <w:tcPr>
            <w:tcW w:w="1522" w:type="pct"/>
            <w:vMerge/>
            <w:tcBorders>
              <w:top w:val="nil"/>
              <w:left w:val="single" w:sz="4" w:space="0" w:color="auto"/>
              <w:bottom w:val="single" w:sz="4" w:space="0" w:color="AEAEAE"/>
              <w:right w:val="nil"/>
            </w:tcBorders>
            <w:vAlign w:val="center"/>
            <w:hideMark/>
          </w:tcPr>
          <w:p w:rsidR="00C60A0B" w:rsidRPr="008619D2" w:rsidRDefault="00C60A0B" w:rsidP="008619D2">
            <w:pPr>
              <w:rPr>
                <w:sz w:val="18"/>
                <w:szCs w:val="18"/>
                <w:lang w:eastAsia="cs-CZ"/>
              </w:rPr>
            </w:pPr>
          </w:p>
        </w:tc>
        <w:tc>
          <w:tcPr>
            <w:tcW w:w="1524" w:type="pct"/>
            <w:tcBorders>
              <w:top w:val="nil"/>
              <w:left w:val="nil"/>
              <w:bottom w:val="single" w:sz="4" w:space="0" w:color="AEAEAE"/>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Záporné saldo primárních NSPK</w:t>
            </w:r>
          </w:p>
        </w:tc>
        <w:tc>
          <w:tcPr>
            <w:tcW w:w="1000" w:type="pct"/>
            <w:tcBorders>
              <w:top w:val="nil"/>
              <w:left w:val="nil"/>
              <w:bottom w:val="single" w:sz="4" w:space="0" w:color="AEAEAE"/>
              <w:right w:val="nil"/>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57,1 %</w:t>
            </w:r>
          </w:p>
        </w:tc>
        <w:tc>
          <w:tcPr>
            <w:tcW w:w="954" w:type="pct"/>
            <w:tcBorders>
              <w:top w:val="nil"/>
              <w:left w:val="single" w:sz="4" w:space="0" w:color="E0E0E0"/>
              <w:bottom w:val="single" w:sz="4" w:space="0" w:color="AEAEAE"/>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42,9 %</w:t>
            </w:r>
          </w:p>
        </w:tc>
      </w:tr>
      <w:tr w:rsidR="00C60A0B" w:rsidRPr="008619D2" w:rsidTr="00C60A0B">
        <w:trPr>
          <w:trHeight w:val="476"/>
        </w:trPr>
        <w:tc>
          <w:tcPr>
            <w:tcW w:w="1522" w:type="pct"/>
            <w:vMerge w:val="restart"/>
            <w:tcBorders>
              <w:top w:val="nil"/>
              <w:left w:val="single" w:sz="4" w:space="0" w:color="auto"/>
              <w:bottom w:val="single" w:sz="4" w:space="0" w:color="000000"/>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 xml:space="preserve">Polarita deficitu nutné hotovosti </w:t>
            </w:r>
          </w:p>
        </w:tc>
        <w:tc>
          <w:tcPr>
            <w:tcW w:w="1524" w:type="pct"/>
            <w:tcBorders>
              <w:top w:val="nil"/>
              <w:left w:val="nil"/>
              <w:bottom w:val="single" w:sz="4" w:space="0" w:color="AEAEAE"/>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 xml:space="preserve">Přebytek nutné hotovosti </w:t>
            </w:r>
          </w:p>
        </w:tc>
        <w:tc>
          <w:tcPr>
            <w:tcW w:w="1000" w:type="pct"/>
            <w:tcBorders>
              <w:top w:val="nil"/>
              <w:left w:val="nil"/>
              <w:bottom w:val="single" w:sz="4" w:space="0" w:color="AEAEAE"/>
              <w:right w:val="nil"/>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71,4 %</w:t>
            </w:r>
          </w:p>
        </w:tc>
        <w:tc>
          <w:tcPr>
            <w:tcW w:w="954" w:type="pct"/>
            <w:tcBorders>
              <w:top w:val="nil"/>
              <w:left w:val="single" w:sz="4" w:space="0" w:color="E0E0E0"/>
              <w:bottom w:val="single" w:sz="4" w:space="0" w:color="AEAEAE"/>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28,6 %</w:t>
            </w:r>
          </w:p>
        </w:tc>
      </w:tr>
      <w:tr w:rsidR="00C60A0B" w:rsidRPr="008619D2" w:rsidTr="00C60A0B">
        <w:trPr>
          <w:trHeight w:val="476"/>
        </w:trPr>
        <w:tc>
          <w:tcPr>
            <w:tcW w:w="1522" w:type="pct"/>
            <w:vMerge/>
            <w:tcBorders>
              <w:top w:val="nil"/>
              <w:left w:val="single" w:sz="4" w:space="0" w:color="auto"/>
              <w:bottom w:val="single" w:sz="4" w:space="0" w:color="auto"/>
              <w:right w:val="nil"/>
            </w:tcBorders>
            <w:vAlign w:val="center"/>
            <w:hideMark/>
          </w:tcPr>
          <w:p w:rsidR="00C60A0B" w:rsidRPr="008619D2" w:rsidRDefault="00C60A0B" w:rsidP="008619D2">
            <w:pPr>
              <w:rPr>
                <w:sz w:val="18"/>
                <w:szCs w:val="18"/>
                <w:lang w:eastAsia="cs-CZ"/>
              </w:rPr>
            </w:pPr>
          </w:p>
        </w:tc>
        <w:tc>
          <w:tcPr>
            <w:tcW w:w="1524" w:type="pct"/>
            <w:tcBorders>
              <w:top w:val="nil"/>
              <w:left w:val="nil"/>
              <w:bottom w:val="single" w:sz="4" w:space="0" w:color="auto"/>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 xml:space="preserve">Deficit nutné hotovosti </w:t>
            </w:r>
          </w:p>
        </w:tc>
        <w:tc>
          <w:tcPr>
            <w:tcW w:w="1000" w:type="pct"/>
            <w:tcBorders>
              <w:top w:val="nil"/>
              <w:left w:val="nil"/>
              <w:bottom w:val="single" w:sz="4" w:space="0" w:color="auto"/>
              <w:right w:val="nil"/>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66,7 %</w:t>
            </w:r>
          </w:p>
        </w:tc>
        <w:tc>
          <w:tcPr>
            <w:tcW w:w="954" w:type="pct"/>
            <w:tcBorders>
              <w:top w:val="nil"/>
              <w:left w:val="single" w:sz="4" w:space="0" w:color="E0E0E0"/>
              <w:bottom w:val="single" w:sz="4" w:space="0" w:color="auto"/>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33,3 %</w:t>
            </w:r>
          </w:p>
        </w:tc>
      </w:tr>
    </w:tbl>
    <w:p w:rsidR="00A707FB" w:rsidRPr="008619D2" w:rsidRDefault="00A707FB" w:rsidP="008619D2">
      <w:pPr>
        <w:rPr>
          <w:sz w:val="18"/>
          <w:szCs w:val="18"/>
        </w:rPr>
      </w:pPr>
    </w:p>
    <w:p w:rsidR="00C60A0B" w:rsidRDefault="00C60A0B" w:rsidP="00C60A0B">
      <w:r w:rsidRPr="00C242E5">
        <w:t xml:space="preserve">Pro poměr šancí stanovený pomocí čtyřpolní tabulky platí stejné, jako v předchozím případě, tedy poměr šancí byl stanoven jak pomocí šancí, tak pomocí relativních rizik. </w:t>
      </w:r>
    </w:p>
    <w:p w:rsidR="00A707FB" w:rsidRPr="00C242E5" w:rsidRDefault="00A707FB" w:rsidP="00C60A0B"/>
    <w:p w:rsidR="00C60A0B" w:rsidRDefault="00C60A0B" w:rsidP="00C60A0B">
      <w:pPr>
        <w:pStyle w:val="Titulek"/>
      </w:pPr>
      <w:bookmarkStart w:id="88" w:name="_Ref9020326"/>
      <w:bookmarkStart w:id="89" w:name="_Ref8937420"/>
      <w:bookmarkStart w:id="90" w:name="_Toc31054808"/>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32</w:t>
      </w:r>
      <w:r w:rsidR="00163A91">
        <w:rPr>
          <w:noProof/>
        </w:rPr>
        <w:fldChar w:fldCharType="end"/>
      </w:r>
      <w:bookmarkEnd w:id="88"/>
      <w:r>
        <w:t xml:space="preserve"> – Závislost polarity vlastního kapitálu na změně polarity ostatních ukazatelů</w:t>
      </w:r>
      <w:bookmarkEnd w:id="89"/>
      <w:bookmarkEnd w:id="90"/>
    </w:p>
    <w:tbl>
      <w:tblPr>
        <w:tblW w:w="5000" w:type="pct"/>
        <w:tblCellMar>
          <w:left w:w="70" w:type="dxa"/>
          <w:right w:w="70" w:type="dxa"/>
        </w:tblCellMar>
        <w:tblLook w:val="04A0"/>
      </w:tblPr>
      <w:tblGrid>
        <w:gridCol w:w="2605"/>
        <w:gridCol w:w="1323"/>
        <w:gridCol w:w="1323"/>
        <w:gridCol w:w="1526"/>
        <w:gridCol w:w="1315"/>
        <w:gridCol w:w="1120"/>
      </w:tblGrid>
      <w:tr w:rsidR="00C60A0B" w:rsidRPr="00B214B3" w:rsidTr="00C60A0B">
        <w:trPr>
          <w:trHeight w:val="1384"/>
        </w:trPr>
        <w:tc>
          <w:tcPr>
            <w:tcW w:w="1414" w:type="pct"/>
            <w:tcBorders>
              <w:top w:val="single" w:sz="4" w:space="0" w:color="auto"/>
              <w:left w:val="single" w:sz="4" w:space="0" w:color="auto"/>
              <w:bottom w:val="single" w:sz="4" w:space="0" w:color="152935"/>
              <w:right w:val="nil"/>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Ukazatel (vysvětlující proměnná)</w:t>
            </w:r>
          </w:p>
        </w:tc>
        <w:tc>
          <w:tcPr>
            <w:tcW w:w="718" w:type="pct"/>
            <w:tcBorders>
              <w:top w:val="single" w:sz="4" w:space="0" w:color="auto"/>
              <w:left w:val="single" w:sz="4" w:space="0" w:color="auto"/>
              <w:bottom w:val="single" w:sz="4" w:space="0" w:color="152935"/>
              <w:right w:val="nil"/>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Relativní riziko pro kladný vlastní kapitál</w:t>
            </w:r>
          </w:p>
        </w:tc>
        <w:tc>
          <w:tcPr>
            <w:tcW w:w="718" w:type="pct"/>
            <w:tcBorders>
              <w:top w:val="single" w:sz="4" w:space="0" w:color="auto"/>
              <w:left w:val="nil"/>
              <w:bottom w:val="single" w:sz="4" w:space="0" w:color="152935"/>
              <w:right w:val="single" w:sz="4" w:space="0" w:color="auto"/>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Relativní riziko pro záporný vlastní kapitál</w:t>
            </w:r>
          </w:p>
        </w:tc>
        <w:tc>
          <w:tcPr>
            <w:tcW w:w="828" w:type="pct"/>
            <w:tcBorders>
              <w:top w:val="single" w:sz="4" w:space="0" w:color="auto"/>
              <w:left w:val="nil"/>
              <w:bottom w:val="single" w:sz="4" w:space="0" w:color="152935"/>
              <w:right w:val="nil"/>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Šance pro kladnou hodnotu vysvětlující proměnné</w:t>
            </w:r>
          </w:p>
        </w:tc>
        <w:tc>
          <w:tcPr>
            <w:tcW w:w="714" w:type="pct"/>
            <w:tcBorders>
              <w:top w:val="single" w:sz="4" w:space="0" w:color="auto"/>
              <w:left w:val="nil"/>
              <w:bottom w:val="single" w:sz="4" w:space="0" w:color="152935"/>
              <w:right w:val="single" w:sz="4" w:space="0" w:color="auto"/>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Šance pro zápornou hodnotu vysvětlující proměnné</w:t>
            </w:r>
          </w:p>
        </w:tc>
        <w:tc>
          <w:tcPr>
            <w:tcW w:w="609" w:type="pct"/>
            <w:tcBorders>
              <w:top w:val="single" w:sz="4" w:space="0" w:color="auto"/>
              <w:left w:val="nil"/>
              <w:bottom w:val="single" w:sz="4" w:space="0" w:color="152935"/>
              <w:right w:val="single" w:sz="4" w:space="0" w:color="auto"/>
            </w:tcBorders>
            <w:shd w:val="clear" w:color="auto" w:fill="auto"/>
            <w:vAlign w:val="center"/>
            <w:hideMark/>
          </w:tcPr>
          <w:p w:rsidR="00C60A0B" w:rsidRPr="008619D2" w:rsidRDefault="00C60A0B" w:rsidP="008619D2">
            <w:pPr>
              <w:rPr>
                <w:b/>
                <w:bCs/>
                <w:sz w:val="18"/>
                <w:szCs w:val="18"/>
                <w:lang w:eastAsia="cs-CZ"/>
              </w:rPr>
            </w:pPr>
            <w:r w:rsidRPr="008619D2">
              <w:rPr>
                <w:b/>
                <w:bCs/>
                <w:sz w:val="18"/>
                <w:szCs w:val="18"/>
                <w:lang w:eastAsia="cs-CZ"/>
              </w:rPr>
              <w:t>Poměr šancí</w:t>
            </w:r>
          </w:p>
        </w:tc>
      </w:tr>
      <w:tr w:rsidR="00C60A0B" w:rsidRPr="00B214B3" w:rsidTr="00C60A0B">
        <w:trPr>
          <w:trHeight w:val="552"/>
        </w:trPr>
        <w:tc>
          <w:tcPr>
            <w:tcW w:w="1414" w:type="pct"/>
            <w:tcBorders>
              <w:top w:val="single" w:sz="4" w:space="0" w:color="auto"/>
              <w:left w:val="single" w:sz="4" w:space="0" w:color="auto"/>
              <w:bottom w:val="single" w:sz="4" w:space="0" w:color="AEAEAE"/>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Polarita primární EBITDA</w:t>
            </w:r>
          </w:p>
        </w:tc>
        <w:tc>
          <w:tcPr>
            <w:tcW w:w="718" w:type="pct"/>
            <w:tcBorders>
              <w:top w:val="single" w:sz="4" w:space="0" w:color="auto"/>
              <w:left w:val="single" w:sz="4" w:space="0" w:color="auto"/>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1,306</w:t>
            </w:r>
          </w:p>
        </w:tc>
        <w:tc>
          <w:tcPr>
            <w:tcW w:w="718" w:type="pct"/>
            <w:tcBorders>
              <w:top w:val="single" w:sz="4" w:space="0" w:color="auto"/>
              <w:left w:val="nil"/>
              <w:bottom w:val="single" w:sz="4" w:space="0" w:color="AEAEAE"/>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0,553</w:t>
            </w:r>
          </w:p>
        </w:tc>
        <w:tc>
          <w:tcPr>
            <w:tcW w:w="828" w:type="pct"/>
            <w:tcBorders>
              <w:top w:val="single" w:sz="4" w:space="0" w:color="auto"/>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0,289</w:t>
            </w:r>
          </w:p>
        </w:tc>
        <w:tc>
          <w:tcPr>
            <w:tcW w:w="714" w:type="pct"/>
            <w:tcBorders>
              <w:top w:val="single" w:sz="4" w:space="0" w:color="auto"/>
              <w:left w:val="nil"/>
              <w:bottom w:val="single" w:sz="4" w:space="0" w:color="AEAEAE"/>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0,684</w:t>
            </w:r>
          </w:p>
        </w:tc>
        <w:tc>
          <w:tcPr>
            <w:tcW w:w="609" w:type="pct"/>
            <w:tcBorders>
              <w:top w:val="single" w:sz="4" w:space="0" w:color="auto"/>
              <w:left w:val="nil"/>
              <w:bottom w:val="single" w:sz="4" w:space="0" w:color="AEAEAE"/>
              <w:right w:val="single" w:sz="4" w:space="0" w:color="auto"/>
            </w:tcBorders>
            <w:shd w:val="clear" w:color="auto" w:fill="auto"/>
            <w:noWrap/>
            <w:vAlign w:val="center"/>
            <w:hideMark/>
          </w:tcPr>
          <w:p w:rsidR="00C60A0B" w:rsidRPr="008619D2" w:rsidRDefault="00C60A0B" w:rsidP="008619D2">
            <w:pPr>
              <w:rPr>
                <w:b/>
                <w:bCs/>
                <w:color w:val="010205"/>
                <w:sz w:val="18"/>
                <w:szCs w:val="18"/>
                <w:lang w:eastAsia="cs-CZ"/>
              </w:rPr>
            </w:pPr>
            <w:r w:rsidRPr="008619D2">
              <w:rPr>
                <w:b/>
                <w:bCs/>
                <w:color w:val="010205"/>
                <w:sz w:val="18"/>
                <w:szCs w:val="18"/>
                <w:lang w:eastAsia="cs-CZ"/>
              </w:rPr>
              <w:t>2,364</w:t>
            </w:r>
          </w:p>
        </w:tc>
      </w:tr>
      <w:tr w:rsidR="00C60A0B" w:rsidRPr="00B214B3" w:rsidTr="00C60A0B">
        <w:trPr>
          <w:trHeight w:val="552"/>
        </w:trPr>
        <w:tc>
          <w:tcPr>
            <w:tcW w:w="1414" w:type="pct"/>
            <w:tcBorders>
              <w:top w:val="single" w:sz="4" w:space="0" w:color="auto"/>
              <w:left w:val="single" w:sz="4" w:space="0" w:color="auto"/>
              <w:bottom w:val="single" w:sz="4" w:space="0" w:color="AEAEAE"/>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Polarita salda primárních NSPK</w:t>
            </w:r>
          </w:p>
        </w:tc>
        <w:tc>
          <w:tcPr>
            <w:tcW w:w="718" w:type="pct"/>
            <w:tcBorders>
              <w:top w:val="single" w:sz="4" w:space="0" w:color="auto"/>
              <w:left w:val="single" w:sz="4" w:space="0" w:color="auto"/>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1,313</w:t>
            </w:r>
          </w:p>
        </w:tc>
        <w:tc>
          <w:tcPr>
            <w:tcW w:w="718" w:type="pct"/>
            <w:tcBorders>
              <w:top w:val="single" w:sz="4" w:space="0" w:color="auto"/>
              <w:left w:val="nil"/>
              <w:bottom w:val="single" w:sz="4" w:space="0" w:color="AEAEAE"/>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0,583</w:t>
            </w:r>
          </w:p>
        </w:tc>
        <w:tc>
          <w:tcPr>
            <w:tcW w:w="828" w:type="pct"/>
            <w:tcBorders>
              <w:top w:val="single" w:sz="4" w:space="0" w:color="auto"/>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0,333</w:t>
            </w:r>
          </w:p>
        </w:tc>
        <w:tc>
          <w:tcPr>
            <w:tcW w:w="714" w:type="pct"/>
            <w:tcBorders>
              <w:top w:val="single" w:sz="4" w:space="0" w:color="auto"/>
              <w:left w:val="nil"/>
              <w:bottom w:val="single" w:sz="4" w:space="0" w:color="AEAEAE"/>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0,750</w:t>
            </w:r>
          </w:p>
        </w:tc>
        <w:tc>
          <w:tcPr>
            <w:tcW w:w="609" w:type="pct"/>
            <w:tcBorders>
              <w:top w:val="single" w:sz="4" w:space="0" w:color="auto"/>
              <w:left w:val="nil"/>
              <w:bottom w:val="single" w:sz="4" w:space="0" w:color="AEAEAE"/>
              <w:right w:val="single" w:sz="4" w:space="0" w:color="auto"/>
            </w:tcBorders>
            <w:shd w:val="clear" w:color="auto" w:fill="auto"/>
            <w:noWrap/>
            <w:vAlign w:val="center"/>
            <w:hideMark/>
          </w:tcPr>
          <w:p w:rsidR="00C60A0B" w:rsidRPr="008619D2" w:rsidRDefault="00C60A0B" w:rsidP="008619D2">
            <w:pPr>
              <w:rPr>
                <w:b/>
                <w:bCs/>
                <w:color w:val="010205"/>
                <w:sz w:val="18"/>
                <w:szCs w:val="18"/>
                <w:lang w:eastAsia="cs-CZ"/>
              </w:rPr>
            </w:pPr>
            <w:r w:rsidRPr="008619D2">
              <w:rPr>
                <w:b/>
                <w:bCs/>
                <w:color w:val="010205"/>
                <w:sz w:val="18"/>
                <w:szCs w:val="18"/>
                <w:lang w:eastAsia="cs-CZ"/>
              </w:rPr>
              <w:t>2,250</w:t>
            </w:r>
          </w:p>
        </w:tc>
      </w:tr>
      <w:tr w:rsidR="00C60A0B" w:rsidRPr="00B214B3" w:rsidTr="00C60A0B">
        <w:trPr>
          <w:trHeight w:val="552"/>
        </w:trPr>
        <w:tc>
          <w:tcPr>
            <w:tcW w:w="1414" w:type="pct"/>
            <w:tcBorders>
              <w:top w:val="single" w:sz="4" w:space="0" w:color="auto"/>
              <w:left w:val="single" w:sz="4" w:space="0" w:color="auto"/>
              <w:bottom w:val="single" w:sz="4" w:space="0" w:color="auto"/>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 xml:space="preserve">Polarita deficitu nutné hotovosti </w:t>
            </w:r>
          </w:p>
        </w:tc>
        <w:tc>
          <w:tcPr>
            <w:tcW w:w="718" w:type="pct"/>
            <w:tcBorders>
              <w:top w:val="single" w:sz="4" w:space="0" w:color="auto"/>
              <w:left w:val="single" w:sz="4" w:space="0" w:color="auto"/>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1,071</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0,857</w:t>
            </w:r>
          </w:p>
        </w:tc>
        <w:tc>
          <w:tcPr>
            <w:tcW w:w="828" w:type="pct"/>
            <w:tcBorders>
              <w:top w:val="single" w:sz="4" w:space="0" w:color="auto"/>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0,400</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0,500</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C60A0B" w:rsidRPr="008619D2" w:rsidRDefault="00C60A0B" w:rsidP="008619D2">
            <w:pPr>
              <w:rPr>
                <w:b/>
                <w:bCs/>
                <w:color w:val="010205"/>
                <w:sz w:val="18"/>
                <w:szCs w:val="18"/>
                <w:lang w:eastAsia="cs-CZ"/>
              </w:rPr>
            </w:pPr>
            <w:r w:rsidRPr="008619D2">
              <w:rPr>
                <w:b/>
                <w:bCs/>
                <w:color w:val="010205"/>
                <w:sz w:val="18"/>
                <w:szCs w:val="18"/>
                <w:lang w:eastAsia="cs-CZ"/>
              </w:rPr>
              <w:t>1,250</w:t>
            </w:r>
          </w:p>
        </w:tc>
      </w:tr>
    </w:tbl>
    <w:p w:rsidR="00E76418" w:rsidRDefault="00E76418" w:rsidP="00C60A0B"/>
    <w:p w:rsidR="00C60A0B" w:rsidRPr="008619D2" w:rsidRDefault="00C60A0B" w:rsidP="008619D2">
      <w:r w:rsidRPr="008619D2">
        <w:t>Ze závislosti polarity vlastního kapitálu na změně polarity ostatních ukazatelů (</w:t>
      </w:r>
      <w:fldSimple w:instr=" REF _Ref9020326 \h  \* MERGEFORMAT ">
        <w:r w:rsidRPr="008619D2">
          <w:t xml:space="preserve">Tabulka </w:t>
        </w:r>
        <w:r w:rsidRPr="008619D2">
          <w:rPr>
            <w:noProof/>
          </w:rPr>
          <w:t>10</w:t>
        </w:r>
      </w:fldSimple>
      <w:r w:rsidRPr="008619D2">
        <w:t xml:space="preserve">) plynou následující skutečnosti. </w:t>
      </w:r>
    </w:p>
    <w:p w:rsidR="00C60A0B" w:rsidRPr="008619D2" w:rsidRDefault="00C60A0B" w:rsidP="008619D2">
      <w:r w:rsidRPr="008619D2">
        <w:t>Pro ukazatel (vysvětlující proměnnou) polarita primární EBITDA skutečnost, že 77,6 % podniků s kladnou primární EBITDA má kladný vlastní kapitál a 22,4 % podniků s kladnou primární EBITDA má vlastní kapitál záporný. Šance vyjádřená podílem těchto relativních četností je pak 0,289. Dále, 59,4</w:t>
      </w:r>
      <w:r w:rsidRPr="008619D2">
        <w:rPr>
          <w:lang w:val="en-US"/>
        </w:rPr>
        <w:t> </w:t>
      </w:r>
      <w:r w:rsidRPr="008619D2">
        <w:t xml:space="preserve">% podniků se zápornou primární EBITDA má kladný vlastní kapitál a 40,6 % podniků se zápornou primární EBITDA má vlastní kapitál záporný. Šance </w:t>
      </w:r>
      <w:r w:rsidRPr="008619D2">
        <w:lastRenderedPageBreak/>
        <w:t>vyjádřená podílem těchto relativních četností je pak 0,684. Poměr šancí je pak 2,364. Poměr šancí je větší než jedna, tedy u podniků se zápornou primární EBITDA je cca 2krát větší šance, že budou mít záporný vlastní kapitál (jako indikaci předlužení). Relativní riziko ve skupině podniků s kladným vlastním kapitálem pak na základě výše citovaných údajů představuje hodnotu 1,306 a relativní riziko ve skupině podniků se záporným vlastním kapitálem hodnotu 0,553. Poměr šancí stanovený podílem těchto relativních rizik je pak rovněž na úrovni 3,364.</w:t>
      </w:r>
    </w:p>
    <w:p w:rsidR="00C60A0B" w:rsidRPr="008619D2" w:rsidRDefault="00C60A0B" w:rsidP="008619D2">
      <w:r w:rsidRPr="008619D2">
        <w:t>Pro ukazatel (vysvětlující proměnnou) polarita salda primárních NSPK skutečnost, že 75 % podniků s kladným saldem primárních NSPK má kladný vlastní kapitál a 25 % podniků s kladným saldem primárních NSPK má vlastní kapitál záporný. Šance vyjádřená podílem těchto relativních četností je pak 0,333. Dále, 57,1</w:t>
      </w:r>
      <w:r w:rsidRPr="008619D2">
        <w:rPr>
          <w:lang w:val="en-US"/>
        </w:rPr>
        <w:t> </w:t>
      </w:r>
      <w:r w:rsidRPr="008619D2">
        <w:t xml:space="preserve">% podniků se se záporným saldem primárních NSPK mají kladný vlastní kapitál a 42,9 % podniků se záporným saldem primárních NSPK vlastní kapitál záporný. Šance vyjádřená podílem těchto relativních četností je pak 0,75. Poměr šancí je pak 2,25. Poměr šancí je větší než jedna, tedy u podniků se se záporným saldem primárních NSPK je cca 2krát větší šance, že budou záporný vlastní kapitál. Relativní riziko ve skupině podniků s kladným vlastním kapitálem pak na základě výše citovaných údajů představuje hodnotu 1,313 a relativní riziko ve skupině podniků se záporným vlastním </w:t>
      </w:r>
      <w:proofErr w:type="gramStart"/>
      <w:r w:rsidRPr="008619D2">
        <w:t>kapitále</w:t>
      </w:r>
      <w:proofErr w:type="gramEnd"/>
      <w:r w:rsidRPr="008619D2">
        <w:t xml:space="preserve"> hodnotu 0,583. Poměr šancí stanovený podílem těchto relativních rizik je pak rovněž na úrovni 2,25.</w:t>
      </w:r>
    </w:p>
    <w:p w:rsidR="00C60A0B" w:rsidRPr="008619D2" w:rsidRDefault="00C60A0B" w:rsidP="008619D2">
      <w:r w:rsidRPr="008619D2">
        <w:t>Pro ukazatel (vysvětlující proměnnou) polarita deficitu nutné hotovosti skutečnost, že 71,4 % podniků s přebytkem nutné hotovosti má kladný vlastní kapitál a 28,6 % podniků s deficitem nutné hotovosti má vlastní kapitál záporný. Šance vyjádřená podílem těchto relativních četností je pak 0,4. Dále, 66,7</w:t>
      </w:r>
      <w:r w:rsidRPr="008619D2">
        <w:rPr>
          <w:lang w:val="en-US"/>
        </w:rPr>
        <w:t> </w:t>
      </w:r>
      <w:r w:rsidRPr="008619D2">
        <w:t xml:space="preserve">% podniků s přebytkem nutné hotovosti m kladný vlastní kapitál a 33,3 % podniků s deficitem nutné hotovosti má vlastní kapitál záporný. Šance vyjádřená podílem těchto relativních četností je pak 0,5. Poměr šancí je pak 1,25. Poměr šancí je jen mírně větší než jedna a u podniků s deficitem nutné hotovosti je cca 1,3krát větší šance, že budou mít záporný vlastní kapitál. Relativní riziko ve skupině podniků s kladným vlastním kapitálem pak na základě výše citovaných údajů představuje hodnotu 1,071 a relativní riziko ve skupině podniků se záporným vlastním kapitálem hodnotu 0,857. Poměr šancí stanovený podílem těchto relativních rizik je pak rovněž na úrovni 1,25. </w:t>
      </w:r>
    </w:p>
    <w:p w:rsidR="00C60A0B" w:rsidRPr="008619D2" w:rsidRDefault="00C60A0B" w:rsidP="008619D2">
      <w:r w:rsidRPr="008619D2">
        <w:t xml:space="preserve">Uvedená analýza ukazuje závislost polarity vlastního kapitálu jako indikátoru předloužení na polaritě jednotlivých vybraných ukazatelů pomocí poměru šancí, ukazuje tedy, kolikrát se zvýší šance, že bude existovat záporný vlastní kapitál, jestliže dojde ke změně polarity ostatních ukazatelů. Z analýzy plyne, že největší intenzita závislosti likvidity (měřené deficitem nutné hotovosti) je na polaritě primární EBITDA. Z tohoto úhlu pohledu je tedy primární EBITDA, resp. její polarita, významnou determinantou likvidity a potažmo platební schopnosti. </w:t>
      </w:r>
    </w:p>
    <w:p w:rsidR="00C60A0B" w:rsidRPr="008619D2" w:rsidRDefault="00C60A0B" w:rsidP="008619D2">
      <w:r w:rsidRPr="008619D2">
        <w:t xml:space="preserve">Stejně, jako v předchozím případě lze ke shodným výsledkům dospět i použitím logistického regresního modelu s jednou vysvětlující proměnnou, kdy vysvětlující proměnnou jsou postupně shodné dichotomické proměnné, jako při použití čtyřpolní tabulky. Hodnota ve sloupci </w:t>
      </w:r>
      <w:r w:rsidRPr="008619D2">
        <w:rPr>
          <w:i/>
        </w:rPr>
        <w:t>B</w:t>
      </w:r>
      <w:r w:rsidRPr="008619D2">
        <w:t xml:space="preserve"> u jednotlivých ukazatelů představuje opět přirozený logaritmus poměru šancí, tedy odhad koeficientu </w:t>
      </w:r>
      <w:r w:rsidRPr="008619D2">
        <w:rPr>
          <w:rFonts w:ascii="Symbol" w:hAnsi="Symbol"/>
        </w:rPr>
        <w:t></w:t>
      </w:r>
      <w:r w:rsidRPr="008619D2">
        <w:rPr>
          <w:rFonts w:cs="Times New Roman"/>
          <w:vertAlign w:val="subscript"/>
        </w:rPr>
        <w:t>1</w:t>
      </w:r>
      <w:r w:rsidRPr="008619D2">
        <w:t xml:space="preserve"> z rovnice </w:t>
      </w:r>
      <w:fldSimple w:instr=" REF _Ref9009387 \h  \* MERGEFORMAT ">
        <w:r w:rsidRPr="008619D2">
          <w:rPr>
            <w:rFonts w:cs="Times New Roman"/>
            <w:sz w:val="26"/>
          </w:rPr>
          <w:t>(</w:t>
        </w:r>
        <w:r w:rsidRPr="008619D2">
          <w:rPr>
            <w:noProof/>
          </w:rPr>
          <w:t>8</w:t>
        </w:r>
        <w:r w:rsidRPr="008619D2">
          <w:t>)</w:t>
        </w:r>
      </w:fldSimple>
      <w:r w:rsidRPr="008619D2">
        <w:t xml:space="preserve"> a z rovnice </w:t>
      </w:r>
      <w:fldSimple w:instr=" REF _Ref9008314 \h  \* MERGEFORMAT ">
        <w:r w:rsidRPr="008619D2">
          <w:rPr>
            <w:rFonts w:cs="Times New Roman"/>
            <w:sz w:val="26"/>
          </w:rPr>
          <w:t>(</w:t>
        </w:r>
        <w:r w:rsidRPr="008619D2">
          <w:rPr>
            <w:noProof/>
          </w:rPr>
          <w:t>9</w:t>
        </w:r>
        <w:r w:rsidRPr="008619D2">
          <w:t>)</w:t>
        </w:r>
      </w:fldSimple>
      <w:r w:rsidRPr="008619D2">
        <w:t xml:space="preserve">, hodnota ve sloupci </w:t>
      </w:r>
      <w:proofErr w:type="gramStart"/>
      <w:r w:rsidRPr="008619D2">
        <w:rPr>
          <w:i/>
        </w:rPr>
        <w:t>Exp(B)</w:t>
      </w:r>
      <w:r w:rsidRPr="008619D2">
        <w:t xml:space="preserve"> pak</w:t>
      </w:r>
      <w:proofErr w:type="gramEnd"/>
      <w:r w:rsidRPr="008619D2">
        <w:t xml:space="preserve"> u jednotlivých ukazatelů představuje poměr šancí shodný výsledky, které prezentuje </w:t>
      </w:r>
      <w:fldSimple w:instr=" REF _Ref9020326 \h  \* MERGEFORMAT ">
        <w:r w:rsidRPr="008619D2">
          <w:t xml:space="preserve">Tabulka </w:t>
        </w:r>
        <w:r w:rsidRPr="008619D2">
          <w:rPr>
            <w:noProof/>
          </w:rPr>
          <w:t>10</w:t>
        </w:r>
      </w:fldSimple>
      <w:r w:rsidRPr="008619D2">
        <w:t xml:space="preserve">.  Konstanta ve sloupci </w:t>
      </w:r>
      <w:r w:rsidRPr="008619D2">
        <w:rPr>
          <w:i/>
        </w:rPr>
        <w:t>B</w:t>
      </w:r>
      <w:r w:rsidRPr="008619D2">
        <w:t xml:space="preserve"> v tomto modelu logistické regrese představuje opět stav, z něhož </w:t>
      </w:r>
      <w:r w:rsidRPr="008619D2">
        <w:lastRenderedPageBreak/>
        <w:t xml:space="preserve">se vychází, tedy odhad koeficientu </w:t>
      </w:r>
      <w:r w:rsidRPr="008619D2">
        <w:rPr>
          <w:rFonts w:ascii="Symbol" w:hAnsi="Symbol"/>
        </w:rPr>
        <w:t></w:t>
      </w:r>
      <w:r w:rsidRPr="008619D2">
        <w:rPr>
          <w:rFonts w:cs="Times New Roman"/>
          <w:vertAlign w:val="subscript"/>
        </w:rPr>
        <w:t>0</w:t>
      </w:r>
      <w:r w:rsidRPr="008619D2">
        <w:t xml:space="preserve"> z rovnice </w:t>
      </w:r>
      <w:fldSimple w:instr=" REF _Ref8932832 \h  \* MERGEFORMAT ">
        <w:r w:rsidRPr="008619D2">
          <w:rPr>
            <w:rFonts w:cs="Times New Roman"/>
          </w:rPr>
          <w:t>(</w:t>
        </w:r>
        <w:r w:rsidRPr="008619D2">
          <w:rPr>
            <w:noProof/>
          </w:rPr>
          <w:t>10</w:t>
        </w:r>
        <w:r w:rsidRPr="008619D2">
          <w:t>)</w:t>
        </w:r>
      </w:fldSimple>
      <w:r w:rsidRPr="008619D2">
        <w:t xml:space="preserve">, konstanta ve sloupci </w:t>
      </w:r>
      <w:proofErr w:type="gramStart"/>
      <w:r w:rsidRPr="008619D2">
        <w:rPr>
          <w:i/>
        </w:rPr>
        <w:t>Exp(B)</w:t>
      </w:r>
      <w:r w:rsidRPr="008619D2">
        <w:t xml:space="preserve"> pak</w:t>
      </w:r>
      <w:proofErr w:type="gramEnd"/>
      <w:r w:rsidRPr="008619D2">
        <w:t xml:space="preserve"> šanci pro kladnou hodnotu vysvětlující proměnné, jak prezentuje </w:t>
      </w:r>
      <w:fldSimple w:instr=" REF _Ref9020326 \h  \* MERGEFORMAT ">
        <w:r w:rsidRPr="008619D2">
          <w:t xml:space="preserve">Tabulka </w:t>
        </w:r>
        <w:r w:rsidRPr="008619D2">
          <w:rPr>
            <w:noProof/>
          </w:rPr>
          <w:t>10</w:t>
        </w:r>
      </w:fldSimple>
      <w:r w:rsidRPr="008619D2">
        <w:t>.</w:t>
      </w:r>
    </w:p>
    <w:p w:rsidR="00A707FB" w:rsidRDefault="00A707FB" w:rsidP="00C60A0B">
      <w:pPr>
        <w:rPr>
          <w:color w:val="FF0000"/>
        </w:rPr>
      </w:pPr>
    </w:p>
    <w:p w:rsidR="00C60A0B" w:rsidRDefault="00C60A0B" w:rsidP="00C60A0B">
      <w:pPr>
        <w:pStyle w:val="Titulek"/>
      </w:pPr>
      <w:bookmarkStart w:id="91" w:name="_Ref13491843"/>
      <w:bookmarkStart w:id="92" w:name="_Ref8937372"/>
      <w:bookmarkStart w:id="93" w:name="_Toc31054809"/>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33</w:t>
      </w:r>
      <w:r w:rsidR="00163A91">
        <w:rPr>
          <w:noProof/>
        </w:rPr>
        <w:fldChar w:fldCharType="end"/>
      </w:r>
      <w:bookmarkEnd w:id="91"/>
      <w:r>
        <w:t xml:space="preserve"> – Poměr šancí stanovení pomocí logistické regrese</w:t>
      </w:r>
      <w:bookmarkEnd w:id="92"/>
      <w:bookmarkEnd w:id="93"/>
    </w:p>
    <w:tbl>
      <w:tblPr>
        <w:tblW w:w="5000" w:type="pct"/>
        <w:tblCellMar>
          <w:left w:w="70" w:type="dxa"/>
          <w:right w:w="70" w:type="dxa"/>
        </w:tblCellMar>
        <w:tblLook w:val="04A0"/>
      </w:tblPr>
      <w:tblGrid>
        <w:gridCol w:w="3318"/>
        <w:gridCol w:w="1076"/>
        <w:gridCol w:w="1076"/>
        <w:gridCol w:w="1076"/>
        <w:gridCol w:w="516"/>
        <w:gridCol w:w="1076"/>
        <w:gridCol w:w="1074"/>
      </w:tblGrid>
      <w:tr w:rsidR="00C60A0B" w:rsidRPr="008619D2" w:rsidTr="00C60A0B">
        <w:trPr>
          <w:trHeight w:val="401"/>
        </w:trPr>
        <w:tc>
          <w:tcPr>
            <w:tcW w:w="1801" w:type="pct"/>
            <w:tcBorders>
              <w:top w:val="single" w:sz="4" w:space="0" w:color="auto"/>
              <w:left w:val="single" w:sz="4" w:space="0" w:color="auto"/>
              <w:bottom w:val="single" w:sz="4" w:space="0" w:color="152935"/>
              <w:right w:val="nil"/>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 </w:t>
            </w:r>
          </w:p>
        </w:tc>
        <w:tc>
          <w:tcPr>
            <w:tcW w:w="584" w:type="pct"/>
            <w:tcBorders>
              <w:top w:val="single" w:sz="4" w:space="0" w:color="auto"/>
              <w:left w:val="nil"/>
              <w:bottom w:val="single" w:sz="4" w:space="0" w:color="152935"/>
              <w:right w:val="single" w:sz="4" w:space="0" w:color="E0E0E0"/>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B</w:t>
            </w:r>
          </w:p>
        </w:tc>
        <w:tc>
          <w:tcPr>
            <w:tcW w:w="584" w:type="pct"/>
            <w:tcBorders>
              <w:top w:val="single" w:sz="4" w:space="0" w:color="auto"/>
              <w:left w:val="nil"/>
              <w:bottom w:val="single" w:sz="4" w:space="0" w:color="152935"/>
              <w:right w:val="single" w:sz="4" w:space="0" w:color="E0E0E0"/>
            </w:tcBorders>
            <w:shd w:val="clear" w:color="auto" w:fill="auto"/>
            <w:vAlign w:val="center"/>
            <w:hideMark/>
          </w:tcPr>
          <w:p w:rsidR="00C60A0B" w:rsidRPr="008619D2" w:rsidRDefault="00C60A0B" w:rsidP="008619D2">
            <w:pPr>
              <w:rPr>
                <w:sz w:val="18"/>
                <w:szCs w:val="18"/>
                <w:lang w:eastAsia="cs-CZ"/>
              </w:rPr>
            </w:pPr>
            <w:proofErr w:type="gramStart"/>
            <w:r w:rsidRPr="008619D2">
              <w:rPr>
                <w:sz w:val="18"/>
                <w:szCs w:val="18"/>
                <w:lang w:eastAsia="cs-CZ"/>
              </w:rPr>
              <w:t>S.E.</w:t>
            </w:r>
            <w:proofErr w:type="gramEnd"/>
          </w:p>
        </w:tc>
        <w:tc>
          <w:tcPr>
            <w:tcW w:w="584" w:type="pct"/>
            <w:tcBorders>
              <w:top w:val="single" w:sz="4" w:space="0" w:color="auto"/>
              <w:left w:val="nil"/>
              <w:bottom w:val="single" w:sz="4" w:space="0" w:color="152935"/>
              <w:right w:val="single" w:sz="4" w:space="0" w:color="E0E0E0"/>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Wald</w:t>
            </w:r>
          </w:p>
        </w:tc>
        <w:tc>
          <w:tcPr>
            <w:tcW w:w="280" w:type="pct"/>
            <w:tcBorders>
              <w:top w:val="single" w:sz="4" w:space="0" w:color="auto"/>
              <w:left w:val="nil"/>
              <w:bottom w:val="single" w:sz="4" w:space="0" w:color="152935"/>
              <w:right w:val="single" w:sz="4" w:space="0" w:color="E0E0E0"/>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df</w:t>
            </w:r>
          </w:p>
        </w:tc>
        <w:tc>
          <w:tcPr>
            <w:tcW w:w="584" w:type="pct"/>
            <w:tcBorders>
              <w:top w:val="single" w:sz="4" w:space="0" w:color="auto"/>
              <w:left w:val="nil"/>
              <w:bottom w:val="single" w:sz="4" w:space="0" w:color="152935"/>
              <w:right w:val="single" w:sz="4" w:space="0" w:color="E0E0E0"/>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Sig.</w:t>
            </w:r>
          </w:p>
        </w:tc>
        <w:tc>
          <w:tcPr>
            <w:tcW w:w="583" w:type="pct"/>
            <w:tcBorders>
              <w:top w:val="single" w:sz="4" w:space="0" w:color="auto"/>
              <w:left w:val="nil"/>
              <w:bottom w:val="single" w:sz="4" w:space="0" w:color="152935"/>
              <w:right w:val="single" w:sz="4" w:space="0" w:color="auto"/>
            </w:tcBorders>
            <w:shd w:val="clear" w:color="auto" w:fill="auto"/>
            <w:vAlign w:val="center"/>
            <w:hideMark/>
          </w:tcPr>
          <w:p w:rsidR="00C60A0B" w:rsidRPr="008619D2" w:rsidRDefault="00C60A0B" w:rsidP="008619D2">
            <w:pPr>
              <w:rPr>
                <w:sz w:val="18"/>
                <w:szCs w:val="18"/>
                <w:lang w:eastAsia="cs-CZ"/>
              </w:rPr>
            </w:pPr>
            <w:proofErr w:type="gramStart"/>
            <w:r w:rsidRPr="008619D2">
              <w:rPr>
                <w:sz w:val="18"/>
                <w:szCs w:val="18"/>
                <w:lang w:eastAsia="cs-CZ"/>
              </w:rPr>
              <w:t>Exp(B)</w:t>
            </w:r>
            <w:proofErr w:type="gramEnd"/>
          </w:p>
        </w:tc>
      </w:tr>
      <w:tr w:rsidR="00C60A0B" w:rsidRPr="008619D2" w:rsidTr="00C60A0B">
        <w:trPr>
          <w:trHeight w:val="401"/>
        </w:trPr>
        <w:tc>
          <w:tcPr>
            <w:tcW w:w="1801" w:type="pct"/>
            <w:tcBorders>
              <w:top w:val="nil"/>
              <w:left w:val="single" w:sz="4" w:space="0" w:color="auto"/>
              <w:bottom w:val="single" w:sz="4" w:space="0" w:color="AEAEAE"/>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Polarita primární EBITDA</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0,860</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0,427</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4,066</w:t>
            </w:r>
          </w:p>
        </w:tc>
        <w:tc>
          <w:tcPr>
            <w:tcW w:w="280"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0,044</w:t>
            </w:r>
          </w:p>
        </w:tc>
        <w:tc>
          <w:tcPr>
            <w:tcW w:w="583" w:type="pct"/>
            <w:tcBorders>
              <w:top w:val="nil"/>
              <w:left w:val="nil"/>
              <w:bottom w:val="single" w:sz="4" w:space="0" w:color="AEAEAE"/>
              <w:right w:val="single" w:sz="4" w:space="0" w:color="auto"/>
            </w:tcBorders>
            <w:shd w:val="clear" w:color="auto" w:fill="auto"/>
            <w:noWrap/>
            <w:vAlign w:val="center"/>
            <w:hideMark/>
          </w:tcPr>
          <w:p w:rsidR="00C60A0B" w:rsidRPr="008619D2" w:rsidRDefault="00C60A0B" w:rsidP="008619D2">
            <w:pPr>
              <w:rPr>
                <w:b/>
                <w:bCs/>
                <w:color w:val="010205"/>
                <w:sz w:val="18"/>
                <w:szCs w:val="18"/>
                <w:lang w:eastAsia="cs-CZ"/>
              </w:rPr>
            </w:pPr>
            <w:r w:rsidRPr="008619D2">
              <w:rPr>
                <w:b/>
                <w:bCs/>
                <w:color w:val="010205"/>
                <w:sz w:val="18"/>
                <w:szCs w:val="18"/>
                <w:lang w:eastAsia="cs-CZ"/>
              </w:rPr>
              <w:t>2,364</w:t>
            </w:r>
          </w:p>
        </w:tc>
      </w:tr>
      <w:tr w:rsidR="00C60A0B" w:rsidRPr="008619D2" w:rsidTr="00C60A0B">
        <w:trPr>
          <w:trHeight w:val="401"/>
        </w:trPr>
        <w:tc>
          <w:tcPr>
            <w:tcW w:w="1801" w:type="pct"/>
            <w:tcBorders>
              <w:top w:val="nil"/>
              <w:left w:val="single" w:sz="4" w:space="0" w:color="auto"/>
              <w:bottom w:val="single" w:sz="4" w:space="0" w:color="152935"/>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Konstanta</w:t>
            </w:r>
          </w:p>
        </w:tc>
        <w:tc>
          <w:tcPr>
            <w:tcW w:w="584" w:type="pct"/>
            <w:tcBorders>
              <w:top w:val="nil"/>
              <w:left w:val="nil"/>
              <w:bottom w:val="single" w:sz="4" w:space="0" w:color="152935"/>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-1,240</w:t>
            </w:r>
          </w:p>
        </w:tc>
        <w:tc>
          <w:tcPr>
            <w:tcW w:w="584" w:type="pct"/>
            <w:tcBorders>
              <w:top w:val="nil"/>
              <w:left w:val="nil"/>
              <w:bottom w:val="single" w:sz="4" w:space="0" w:color="152935"/>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0,342</w:t>
            </w:r>
          </w:p>
        </w:tc>
        <w:tc>
          <w:tcPr>
            <w:tcW w:w="584" w:type="pct"/>
            <w:tcBorders>
              <w:top w:val="nil"/>
              <w:left w:val="nil"/>
              <w:bottom w:val="single" w:sz="4" w:space="0" w:color="152935"/>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13,110</w:t>
            </w:r>
          </w:p>
        </w:tc>
        <w:tc>
          <w:tcPr>
            <w:tcW w:w="280" w:type="pct"/>
            <w:tcBorders>
              <w:top w:val="nil"/>
              <w:left w:val="nil"/>
              <w:bottom w:val="single" w:sz="4" w:space="0" w:color="152935"/>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w:t>
            </w:r>
          </w:p>
        </w:tc>
        <w:tc>
          <w:tcPr>
            <w:tcW w:w="584" w:type="pct"/>
            <w:tcBorders>
              <w:top w:val="nil"/>
              <w:left w:val="nil"/>
              <w:bottom w:val="single" w:sz="4" w:space="0" w:color="152935"/>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0,000</w:t>
            </w:r>
          </w:p>
        </w:tc>
        <w:tc>
          <w:tcPr>
            <w:tcW w:w="583" w:type="pct"/>
            <w:tcBorders>
              <w:top w:val="nil"/>
              <w:left w:val="nil"/>
              <w:bottom w:val="single" w:sz="4" w:space="0" w:color="152935"/>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0,289</w:t>
            </w:r>
          </w:p>
        </w:tc>
      </w:tr>
      <w:tr w:rsidR="00C60A0B" w:rsidRPr="008619D2" w:rsidTr="00C60A0B">
        <w:trPr>
          <w:trHeight w:val="401"/>
        </w:trPr>
        <w:tc>
          <w:tcPr>
            <w:tcW w:w="1801" w:type="pct"/>
            <w:tcBorders>
              <w:top w:val="nil"/>
              <w:left w:val="single" w:sz="4" w:space="0" w:color="auto"/>
              <w:bottom w:val="single" w:sz="4" w:space="0" w:color="AEAEAE"/>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Polarita salda primárních NSPK</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0,811</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0,408</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3,946</w:t>
            </w:r>
          </w:p>
        </w:tc>
        <w:tc>
          <w:tcPr>
            <w:tcW w:w="280"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0,047</w:t>
            </w:r>
          </w:p>
        </w:tc>
        <w:tc>
          <w:tcPr>
            <w:tcW w:w="583" w:type="pct"/>
            <w:tcBorders>
              <w:top w:val="nil"/>
              <w:left w:val="nil"/>
              <w:bottom w:val="single" w:sz="4" w:space="0" w:color="AEAEAE"/>
              <w:right w:val="single" w:sz="4" w:space="0" w:color="auto"/>
            </w:tcBorders>
            <w:shd w:val="clear" w:color="auto" w:fill="auto"/>
            <w:noWrap/>
            <w:vAlign w:val="center"/>
            <w:hideMark/>
          </w:tcPr>
          <w:p w:rsidR="00C60A0B" w:rsidRPr="008619D2" w:rsidRDefault="00C60A0B" w:rsidP="008619D2">
            <w:pPr>
              <w:rPr>
                <w:b/>
                <w:bCs/>
                <w:color w:val="010205"/>
                <w:sz w:val="18"/>
                <w:szCs w:val="18"/>
                <w:lang w:eastAsia="cs-CZ"/>
              </w:rPr>
            </w:pPr>
            <w:r w:rsidRPr="008619D2">
              <w:rPr>
                <w:b/>
                <w:bCs/>
                <w:color w:val="010205"/>
                <w:sz w:val="18"/>
                <w:szCs w:val="18"/>
                <w:lang w:eastAsia="cs-CZ"/>
              </w:rPr>
              <w:t>2,250</w:t>
            </w:r>
          </w:p>
        </w:tc>
      </w:tr>
      <w:tr w:rsidR="00C60A0B" w:rsidRPr="008619D2" w:rsidTr="00C60A0B">
        <w:trPr>
          <w:trHeight w:val="401"/>
        </w:trPr>
        <w:tc>
          <w:tcPr>
            <w:tcW w:w="1801" w:type="pct"/>
            <w:tcBorders>
              <w:top w:val="nil"/>
              <w:left w:val="single" w:sz="4" w:space="0" w:color="auto"/>
              <w:bottom w:val="single" w:sz="4" w:space="0" w:color="152935"/>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Konstanta</w:t>
            </w:r>
          </w:p>
        </w:tc>
        <w:tc>
          <w:tcPr>
            <w:tcW w:w="584" w:type="pct"/>
            <w:tcBorders>
              <w:top w:val="nil"/>
              <w:left w:val="nil"/>
              <w:bottom w:val="single" w:sz="4" w:space="0" w:color="152935"/>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-1,099</w:t>
            </w:r>
          </w:p>
        </w:tc>
        <w:tc>
          <w:tcPr>
            <w:tcW w:w="584" w:type="pct"/>
            <w:tcBorders>
              <w:top w:val="nil"/>
              <w:left w:val="nil"/>
              <w:bottom w:val="single" w:sz="4" w:space="0" w:color="152935"/>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0,289</w:t>
            </w:r>
          </w:p>
        </w:tc>
        <w:tc>
          <w:tcPr>
            <w:tcW w:w="584" w:type="pct"/>
            <w:tcBorders>
              <w:top w:val="nil"/>
              <w:left w:val="nil"/>
              <w:bottom w:val="single" w:sz="4" w:space="0" w:color="152935"/>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14,483</w:t>
            </w:r>
          </w:p>
        </w:tc>
        <w:tc>
          <w:tcPr>
            <w:tcW w:w="280" w:type="pct"/>
            <w:tcBorders>
              <w:top w:val="nil"/>
              <w:left w:val="nil"/>
              <w:bottom w:val="single" w:sz="4" w:space="0" w:color="152935"/>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w:t>
            </w:r>
          </w:p>
        </w:tc>
        <w:tc>
          <w:tcPr>
            <w:tcW w:w="584" w:type="pct"/>
            <w:tcBorders>
              <w:top w:val="nil"/>
              <w:left w:val="nil"/>
              <w:bottom w:val="single" w:sz="4" w:space="0" w:color="152935"/>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0,000</w:t>
            </w:r>
          </w:p>
        </w:tc>
        <w:tc>
          <w:tcPr>
            <w:tcW w:w="583" w:type="pct"/>
            <w:tcBorders>
              <w:top w:val="nil"/>
              <w:left w:val="nil"/>
              <w:bottom w:val="single" w:sz="4" w:space="0" w:color="152935"/>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0,333</w:t>
            </w:r>
          </w:p>
        </w:tc>
      </w:tr>
      <w:tr w:rsidR="00C60A0B" w:rsidRPr="008619D2" w:rsidTr="00C60A0B">
        <w:trPr>
          <w:trHeight w:val="401"/>
        </w:trPr>
        <w:tc>
          <w:tcPr>
            <w:tcW w:w="1801" w:type="pct"/>
            <w:tcBorders>
              <w:top w:val="nil"/>
              <w:left w:val="single" w:sz="4" w:space="0" w:color="auto"/>
              <w:bottom w:val="single" w:sz="4" w:space="0" w:color="AEAEAE"/>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 xml:space="preserve">Polarita deficitu nutné hotovosti </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0,223</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0,629</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0,126</w:t>
            </w:r>
          </w:p>
        </w:tc>
        <w:tc>
          <w:tcPr>
            <w:tcW w:w="280"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0,723</w:t>
            </w:r>
          </w:p>
        </w:tc>
        <w:tc>
          <w:tcPr>
            <w:tcW w:w="583" w:type="pct"/>
            <w:tcBorders>
              <w:top w:val="nil"/>
              <w:left w:val="nil"/>
              <w:bottom w:val="single" w:sz="4" w:space="0" w:color="AEAEAE"/>
              <w:right w:val="single" w:sz="4" w:space="0" w:color="auto"/>
            </w:tcBorders>
            <w:shd w:val="clear" w:color="auto" w:fill="auto"/>
            <w:noWrap/>
            <w:vAlign w:val="center"/>
            <w:hideMark/>
          </w:tcPr>
          <w:p w:rsidR="00C60A0B" w:rsidRPr="008619D2" w:rsidRDefault="00C60A0B" w:rsidP="008619D2">
            <w:pPr>
              <w:rPr>
                <w:b/>
                <w:bCs/>
                <w:color w:val="010205"/>
                <w:sz w:val="18"/>
                <w:szCs w:val="18"/>
                <w:lang w:eastAsia="cs-CZ"/>
              </w:rPr>
            </w:pPr>
            <w:r w:rsidRPr="008619D2">
              <w:rPr>
                <w:b/>
                <w:bCs/>
                <w:color w:val="010205"/>
                <w:sz w:val="18"/>
                <w:szCs w:val="18"/>
                <w:lang w:eastAsia="cs-CZ"/>
              </w:rPr>
              <w:t>1,250</w:t>
            </w:r>
          </w:p>
        </w:tc>
      </w:tr>
      <w:tr w:rsidR="00C60A0B" w:rsidRPr="008619D2" w:rsidTr="00C60A0B">
        <w:trPr>
          <w:trHeight w:val="401"/>
        </w:trPr>
        <w:tc>
          <w:tcPr>
            <w:tcW w:w="1801" w:type="pct"/>
            <w:tcBorders>
              <w:top w:val="nil"/>
              <w:left w:val="single" w:sz="4" w:space="0" w:color="auto"/>
              <w:bottom w:val="single" w:sz="4" w:space="0" w:color="auto"/>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Konstanta</w:t>
            </w:r>
          </w:p>
        </w:tc>
        <w:tc>
          <w:tcPr>
            <w:tcW w:w="584"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-0,916</w:t>
            </w:r>
          </w:p>
        </w:tc>
        <w:tc>
          <w:tcPr>
            <w:tcW w:w="584"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0,592</w:t>
            </w:r>
          </w:p>
        </w:tc>
        <w:tc>
          <w:tcPr>
            <w:tcW w:w="584"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2,399</w:t>
            </w:r>
          </w:p>
        </w:tc>
        <w:tc>
          <w:tcPr>
            <w:tcW w:w="280"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w:t>
            </w:r>
          </w:p>
        </w:tc>
        <w:tc>
          <w:tcPr>
            <w:tcW w:w="584"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0,121</w:t>
            </w:r>
          </w:p>
        </w:tc>
        <w:tc>
          <w:tcPr>
            <w:tcW w:w="583" w:type="pct"/>
            <w:tcBorders>
              <w:top w:val="nil"/>
              <w:left w:val="nil"/>
              <w:bottom w:val="single" w:sz="4" w:space="0" w:color="auto"/>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0,400</w:t>
            </w:r>
          </w:p>
        </w:tc>
      </w:tr>
    </w:tbl>
    <w:p w:rsidR="00E32B04" w:rsidRDefault="00E32B04" w:rsidP="00C60A0B">
      <w:pPr>
        <w:pStyle w:val="Titulek"/>
      </w:pPr>
    </w:p>
    <w:p w:rsidR="00C60A0B" w:rsidRDefault="00C60A0B" w:rsidP="00C60A0B">
      <w:pPr>
        <w:pStyle w:val="Titulek"/>
      </w:pPr>
      <w:bookmarkStart w:id="94" w:name="_Toc31054810"/>
      <w:r>
        <w:t xml:space="preserve">Tabulka </w:t>
      </w:r>
      <w:r w:rsidR="00163A91">
        <w:rPr>
          <w:noProof/>
        </w:rPr>
        <w:fldChar w:fldCharType="begin"/>
      </w:r>
      <w:r>
        <w:rPr>
          <w:noProof/>
        </w:rPr>
        <w:instrText xml:space="preserve"> SEQ Tabulka \* ARABIC </w:instrText>
      </w:r>
      <w:r w:rsidR="00163A91">
        <w:rPr>
          <w:noProof/>
        </w:rPr>
        <w:fldChar w:fldCharType="separate"/>
      </w:r>
      <w:r w:rsidR="007C1EE6">
        <w:rPr>
          <w:noProof/>
        </w:rPr>
        <w:t>34</w:t>
      </w:r>
      <w:r w:rsidR="00163A91">
        <w:rPr>
          <w:noProof/>
        </w:rPr>
        <w:fldChar w:fldCharType="end"/>
      </w:r>
      <w:r>
        <w:t xml:space="preserve"> – Současné působení vybraných ukazatelů</w:t>
      </w:r>
      <w:bookmarkEnd w:id="94"/>
    </w:p>
    <w:tbl>
      <w:tblPr>
        <w:tblW w:w="5000" w:type="pct"/>
        <w:tblCellMar>
          <w:left w:w="70" w:type="dxa"/>
          <w:right w:w="70" w:type="dxa"/>
        </w:tblCellMar>
        <w:tblLook w:val="04A0"/>
      </w:tblPr>
      <w:tblGrid>
        <w:gridCol w:w="3318"/>
        <w:gridCol w:w="1076"/>
        <w:gridCol w:w="1076"/>
        <w:gridCol w:w="1076"/>
        <w:gridCol w:w="516"/>
        <w:gridCol w:w="1076"/>
        <w:gridCol w:w="1074"/>
      </w:tblGrid>
      <w:tr w:rsidR="00C60A0B" w:rsidRPr="008619D2" w:rsidTr="008619D2">
        <w:trPr>
          <w:trHeight w:val="468"/>
        </w:trPr>
        <w:tc>
          <w:tcPr>
            <w:tcW w:w="1801" w:type="pct"/>
            <w:tcBorders>
              <w:top w:val="single" w:sz="4" w:space="0" w:color="auto"/>
              <w:left w:val="single" w:sz="4" w:space="0" w:color="auto"/>
              <w:bottom w:val="single" w:sz="4" w:space="0" w:color="152935"/>
              <w:right w:val="nil"/>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 </w:t>
            </w:r>
          </w:p>
        </w:tc>
        <w:tc>
          <w:tcPr>
            <w:tcW w:w="584" w:type="pct"/>
            <w:tcBorders>
              <w:top w:val="single" w:sz="4" w:space="0" w:color="auto"/>
              <w:left w:val="nil"/>
              <w:bottom w:val="single" w:sz="4" w:space="0" w:color="152935"/>
              <w:right w:val="single" w:sz="4" w:space="0" w:color="E0E0E0"/>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B</w:t>
            </w:r>
          </w:p>
        </w:tc>
        <w:tc>
          <w:tcPr>
            <w:tcW w:w="584" w:type="pct"/>
            <w:tcBorders>
              <w:top w:val="single" w:sz="4" w:space="0" w:color="auto"/>
              <w:left w:val="nil"/>
              <w:bottom w:val="single" w:sz="4" w:space="0" w:color="152935"/>
              <w:right w:val="single" w:sz="4" w:space="0" w:color="E0E0E0"/>
            </w:tcBorders>
            <w:shd w:val="clear" w:color="auto" w:fill="auto"/>
            <w:vAlign w:val="center"/>
            <w:hideMark/>
          </w:tcPr>
          <w:p w:rsidR="00C60A0B" w:rsidRPr="008619D2" w:rsidRDefault="00C60A0B" w:rsidP="008619D2">
            <w:pPr>
              <w:rPr>
                <w:sz w:val="18"/>
                <w:szCs w:val="18"/>
                <w:lang w:eastAsia="cs-CZ"/>
              </w:rPr>
            </w:pPr>
            <w:proofErr w:type="gramStart"/>
            <w:r w:rsidRPr="008619D2">
              <w:rPr>
                <w:sz w:val="18"/>
                <w:szCs w:val="18"/>
                <w:lang w:eastAsia="cs-CZ"/>
              </w:rPr>
              <w:t>S.E.</w:t>
            </w:r>
            <w:proofErr w:type="gramEnd"/>
          </w:p>
        </w:tc>
        <w:tc>
          <w:tcPr>
            <w:tcW w:w="584" w:type="pct"/>
            <w:tcBorders>
              <w:top w:val="single" w:sz="4" w:space="0" w:color="auto"/>
              <w:left w:val="nil"/>
              <w:bottom w:val="single" w:sz="4" w:space="0" w:color="152935"/>
              <w:right w:val="single" w:sz="4" w:space="0" w:color="E0E0E0"/>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Wald</w:t>
            </w:r>
          </w:p>
        </w:tc>
        <w:tc>
          <w:tcPr>
            <w:tcW w:w="280" w:type="pct"/>
            <w:tcBorders>
              <w:top w:val="single" w:sz="4" w:space="0" w:color="auto"/>
              <w:left w:val="nil"/>
              <w:bottom w:val="single" w:sz="4" w:space="0" w:color="152935"/>
              <w:right w:val="single" w:sz="4" w:space="0" w:color="E0E0E0"/>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df</w:t>
            </w:r>
          </w:p>
        </w:tc>
        <w:tc>
          <w:tcPr>
            <w:tcW w:w="584" w:type="pct"/>
            <w:tcBorders>
              <w:top w:val="single" w:sz="4" w:space="0" w:color="auto"/>
              <w:left w:val="nil"/>
              <w:bottom w:val="single" w:sz="4" w:space="0" w:color="152935"/>
              <w:right w:val="single" w:sz="4" w:space="0" w:color="E0E0E0"/>
            </w:tcBorders>
            <w:shd w:val="clear" w:color="auto" w:fill="auto"/>
            <w:vAlign w:val="center"/>
            <w:hideMark/>
          </w:tcPr>
          <w:p w:rsidR="00C60A0B" w:rsidRPr="008619D2" w:rsidRDefault="00C60A0B" w:rsidP="008619D2">
            <w:pPr>
              <w:rPr>
                <w:sz w:val="18"/>
                <w:szCs w:val="18"/>
                <w:lang w:eastAsia="cs-CZ"/>
              </w:rPr>
            </w:pPr>
            <w:r w:rsidRPr="008619D2">
              <w:rPr>
                <w:sz w:val="18"/>
                <w:szCs w:val="18"/>
                <w:lang w:eastAsia="cs-CZ"/>
              </w:rPr>
              <w:t>Sig.</w:t>
            </w:r>
          </w:p>
        </w:tc>
        <w:tc>
          <w:tcPr>
            <w:tcW w:w="584" w:type="pct"/>
            <w:tcBorders>
              <w:top w:val="single" w:sz="4" w:space="0" w:color="auto"/>
              <w:left w:val="nil"/>
              <w:bottom w:val="single" w:sz="4" w:space="0" w:color="152935"/>
              <w:right w:val="single" w:sz="4" w:space="0" w:color="auto"/>
            </w:tcBorders>
            <w:shd w:val="clear" w:color="auto" w:fill="auto"/>
            <w:vAlign w:val="center"/>
            <w:hideMark/>
          </w:tcPr>
          <w:p w:rsidR="00C60A0B" w:rsidRPr="008619D2" w:rsidRDefault="00C60A0B" w:rsidP="008619D2">
            <w:pPr>
              <w:rPr>
                <w:sz w:val="18"/>
                <w:szCs w:val="18"/>
                <w:lang w:eastAsia="cs-CZ"/>
              </w:rPr>
            </w:pPr>
            <w:proofErr w:type="gramStart"/>
            <w:r w:rsidRPr="008619D2">
              <w:rPr>
                <w:sz w:val="18"/>
                <w:szCs w:val="18"/>
                <w:lang w:eastAsia="cs-CZ"/>
              </w:rPr>
              <w:t>Exp(B)</w:t>
            </w:r>
            <w:proofErr w:type="gramEnd"/>
          </w:p>
        </w:tc>
      </w:tr>
      <w:tr w:rsidR="00C60A0B" w:rsidRPr="008619D2" w:rsidTr="008619D2">
        <w:trPr>
          <w:trHeight w:val="468"/>
        </w:trPr>
        <w:tc>
          <w:tcPr>
            <w:tcW w:w="1801" w:type="pct"/>
            <w:tcBorders>
              <w:top w:val="nil"/>
              <w:left w:val="single" w:sz="4" w:space="0" w:color="auto"/>
              <w:bottom w:val="single" w:sz="4" w:space="0" w:color="AEAEAE"/>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Polarita primární EBITDA</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0,804</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0,445</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3,261</w:t>
            </w:r>
          </w:p>
        </w:tc>
        <w:tc>
          <w:tcPr>
            <w:tcW w:w="280"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0,071</w:t>
            </w:r>
          </w:p>
        </w:tc>
        <w:tc>
          <w:tcPr>
            <w:tcW w:w="584" w:type="pct"/>
            <w:tcBorders>
              <w:top w:val="nil"/>
              <w:left w:val="nil"/>
              <w:bottom w:val="single" w:sz="4" w:space="0" w:color="AEAEAE"/>
              <w:right w:val="single" w:sz="4" w:space="0" w:color="auto"/>
            </w:tcBorders>
            <w:shd w:val="clear" w:color="auto" w:fill="auto"/>
            <w:noWrap/>
            <w:vAlign w:val="center"/>
            <w:hideMark/>
          </w:tcPr>
          <w:p w:rsidR="00C60A0B" w:rsidRPr="008619D2" w:rsidRDefault="00C60A0B" w:rsidP="008619D2">
            <w:pPr>
              <w:rPr>
                <w:b/>
                <w:bCs/>
                <w:color w:val="010205"/>
                <w:sz w:val="18"/>
                <w:szCs w:val="18"/>
                <w:lang w:eastAsia="cs-CZ"/>
              </w:rPr>
            </w:pPr>
            <w:r w:rsidRPr="008619D2">
              <w:rPr>
                <w:b/>
                <w:bCs/>
                <w:color w:val="010205"/>
                <w:sz w:val="18"/>
                <w:szCs w:val="18"/>
                <w:lang w:eastAsia="cs-CZ"/>
              </w:rPr>
              <w:t>2,236</w:t>
            </w:r>
          </w:p>
        </w:tc>
      </w:tr>
      <w:tr w:rsidR="00C60A0B" w:rsidRPr="008619D2" w:rsidTr="008619D2">
        <w:trPr>
          <w:trHeight w:val="468"/>
        </w:trPr>
        <w:tc>
          <w:tcPr>
            <w:tcW w:w="1801" w:type="pct"/>
            <w:tcBorders>
              <w:top w:val="nil"/>
              <w:left w:val="single" w:sz="4" w:space="0" w:color="auto"/>
              <w:bottom w:val="single" w:sz="4" w:space="0" w:color="AEAEAE"/>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Polarita salda primárních NSPK</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0,743</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0,422</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3,095</w:t>
            </w:r>
          </w:p>
        </w:tc>
        <w:tc>
          <w:tcPr>
            <w:tcW w:w="280"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0,079</w:t>
            </w:r>
          </w:p>
        </w:tc>
        <w:tc>
          <w:tcPr>
            <w:tcW w:w="584" w:type="pct"/>
            <w:tcBorders>
              <w:top w:val="nil"/>
              <w:left w:val="nil"/>
              <w:bottom w:val="single" w:sz="4" w:space="0" w:color="AEAEAE"/>
              <w:right w:val="single" w:sz="4" w:space="0" w:color="auto"/>
            </w:tcBorders>
            <w:shd w:val="clear" w:color="auto" w:fill="auto"/>
            <w:noWrap/>
            <w:vAlign w:val="center"/>
            <w:hideMark/>
          </w:tcPr>
          <w:p w:rsidR="00C60A0B" w:rsidRPr="008619D2" w:rsidRDefault="00C60A0B" w:rsidP="008619D2">
            <w:pPr>
              <w:rPr>
                <w:b/>
                <w:bCs/>
                <w:color w:val="010205"/>
                <w:sz w:val="18"/>
                <w:szCs w:val="18"/>
                <w:lang w:eastAsia="cs-CZ"/>
              </w:rPr>
            </w:pPr>
            <w:r w:rsidRPr="008619D2">
              <w:rPr>
                <w:b/>
                <w:bCs/>
                <w:color w:val="010205"/>
                <w:sz w:val="18"/>
                <w:szCs w:val="18"/>
                <w:lang w:eastAsia="cs-CZ"/>
              </w:rPr>
              <w:t>2,102</w:t>
            </w:r>
          </w:p>
        </w:tc>
      </w:tr>
      <w:tr w:rsidR="00C60A0B" w:rsidRPr="008619D2" w:rsidTr="008619D2">
        <w:trPr>
          <w:trHeight w:val="468"/>
        </w:trPr>
        <w:tc>
          <w:tcPr>
            <w:tcW w:w="1801" w:type="pct"/>
            <w:tcBorders>
              <w:top w:val="nil"/>
              <w:left w:val="single" w:sz="4" w:space="0" w:color="auto"/>
              <w:bottom w:val="single" w:sz="4" w:space="0" w:color="AEAEAE"/>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 xml:space="preserve">Polarita deficitu nutné hotovosti </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-0,245</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0,668</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0,135</w:t>
            </w:r>
          </w:p>
        </w:tc>
        <w:tc>
          <w:tcPr>
            <w:tcW w:w="280"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w:t>
            </w:r>
          </w:p>
        </w:tc>
        <w:tc>
          <w:tcPr>
            <w:tcW w:w="584" w:type="pct"/>
            <w:tcBorders>
              <w:top w:val="nil"/>
              <w:left w:val="nil"/>
              <w:bottom w:val="single" w:sz="4" w:space="0" w:color="AEAEAE"/>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0,713</w:t>
            </w:r>
          </w:p>
        </w:tc>
        <w:tc>
          <w:tcPr>
            <w:tcW w:w="584" w:type="pct"/>
            <w:tcBorders>
              <w:top w:val="nil"/>
              <w:left w:val="nil"/>
              <w:bottom w:val="single" w:sz="4" w:space="0" w:color="AEAEAE"/>
              <w:right w:val="single" w:sz="4" w:space="0" w:color="auto"/>
            </w:tcBorders>
            <w:shd w:val="clear" w:color="auto" w:fill="auto"/>
            <w:noWrap/>
            <w:vAlign w:val="center"/>
            <w:hideMark/>
          </w:tcPr>
          <w:p w:rsidR="00C60A0B" w:rsidRPr="008619D2" w:rsidRDefault="00C60A0B" w:rsidP="008619D2">
            <w:pPr>
              <w:rPr>
                <w:b/>
                <w:bCs/>
                <w:color w:val="010205"/>
                <w:sz w:val="18"/>
                <w:szCs w:val="18"/>
                <w:lang w:eastAsia="cs-CZ"/>
              </w:rPr>
            </w:pPr>
            <w:r w:rsidRPr="008619D2">
              <w:rPr>
                <w:b/>
                <w:bCs/>
                <w:color w:val="010205"/>
                <w:sz w:val="18"/>
                <w:szCs w:val="18"/>
                <w:lang w:eastAsia="cs-CZ"/>
              </w:rPr>
              <w:t>0,783</w:t>
            </w:r>
          </w:p>
        </w:tc>
      </w:tr>
      <w:tr w:rsidR="00C60A0B" w:rsidRPr="008619D2" w:rsidTr="008619D2">
        <w:trPr>
          <w:trHeight w:val="468"/>
        </w:trPr>
        <w:tc>
          <w:tcPr>
            <w:tcW w:w="1801" w:type="pct"/>
            <w:tcBorders>
              <w:top w:val="nil"/>
              <w:left w:val="single" w:sz="4" w:space="0" w:color="auto"/>
              <w:bottom w:val="single" w:sz="4" w:space="0" w:color="auto"/>
              <w:right w:val="nil"/>
            </w:tcBorders>
            <w:shd w:val="clear" w:color="000000" w:fill="E0E0E0"/>
            <w:vAlign w:val="center"/>
            <w:hideMark/>
          </w:tcPr>
          <w:p w:rsidR="00C60A0B" w:rsidRPr="008619D2" w:rsidRDefault="00C60A0B" w:rsidP="008619D2">
            <w:pPr>
              <w:rPr>
                <w:sz w:val="18"/>
                <w:szCs w:val="18"/>
                <w:lang w:eastAsia="cs-CZ"/>
              </w:rPr>
            </w:pPr>
            <w:r w:rsidRPr="008619D2">
              <w:rPr>
                <w:sz w:val="18"/>
                <w:szCs w:val="18"/>
                <w:lang w:eastAsia="cs-CZ"/>
              </w:rPr>
              <w:t>Konstanta</w:t>
            </w:r>
          </w:p>
        </w:tc>
        <w:tc>
          <w:tcPr>
            <w:tcW w:w="584"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-1,338</w:t>
            </w:r>
          </w:p>
        </w:tc>
        <w:tc>
          <w:tcPr>
            <w:tcW w:w="584"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0,627</w:t>
            </w:r>
          </w:p>
        </w:tc>
        <w:tc>
          <w:tcPr>
            <w:tcW w:w="584"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4,561</w:t>
            </w:r>
          </w:p>
        </w:tc>
        <w:tc>
          <w:tcPr>
            <w:tcW w:w="280"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1</w:t>
            </w:r>
          </w:p>
        </w:tc>
        <w:tc>
          <w:tcPr>
            <w:tcW w:w="584" w:type="pct"/>
            <w:tcBorders>
              <w:top w:val="nil"/>
              <w:left w:val="nil"/>
              <w:bottom w:val="single" w:sz="4" w:space="0" w:color="auto"/>
              <w:right w:val="single" w:sz="4" w:space="0" w:color="E0E0E0"/>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0,033</w:t>
            </w:r>
          </w:p>
        </w:tc>
        <w:tc>
          <w:tcPr>
            <w:tcW w:w="584" w:type="pct"/>
            <w:tcBorders>
              <w:top w:val="nil"/>
              <w:left w:val="nil"/>
              <w:bottom w:val="single" w:sz="4" w:space="0" w:color="auto"/>
              <w:right w:val="single" w:sz="4" w:space="0" w:color="auto"/>
            </w:tcBorders>
            <w:shd w:val="clear" w:color="auto" w:fill="auto"/>
            <w:noWrap/>
            <w:vAlign w:val="center"/>
            <w:hideMark/>
          </w:tcPr>
          <w:p w:rsidR="00C60A0B" w:rsidRPr="008619D2" w:rsidRDefault="00C60A0B" w:rsidP="008619D2">
            <w:pPr>
              <w:rPr>
                <w:color w:val="010205"/>
                <w:sz w:val="18"/>
                <w:szCs w:val="18"/>
                <w:lang w:eastAsia="cs-CZ"/>
              </w:rPr>
            </w:pPr>
            <w:r w:rsidRPr="008619D2">
              <w:rPr>
                <w:color w:val="010205"/>
                <w:sz w:val="18"/>
                <w:szCs w:val="18"/>
                <w:lang w:eastAsia="cs-CZ"/>
              </w:rPr>
              <w:t>0,262</w:t>
            </w:r>
          </w:p>
        </w:tc>
      </w:tr>
    </w:tbl>
    <w:p w:rsidR="00E32B04" w:rsidRDefault="00E32B04" w:rsidP="00C60A0B"/>
    <w:p w:rsidR="00C60A0B" w:rsidRDefault="00C60A0B" w:rsidP="008619D2">
      <w:r>
        <w:t xml:space="preserve">Z tabulky je patrné, že největší vliv má stále polarita primární EBITDA, u které je poměr šancí na úrovni 2,236. Na základě oddělené analýzy byl poměr šancí 2,364 (viz </w:t>
      </w:r>
      <w:fldSimple w:instr=" REF _Ref9020326 \h  \* MERGEFORMAT ">
        <w:r>
          <w:t xml:space="preserve">Tabulka </w:t>
        </w:r>
        <w:r>
          <w:rPr>
            <w:noProof/>
          </w:rPr>
          <w:t>10</w:t>
        </w:r>
      </w:fldSimple>
      <w:r>
        <w:t xml:space="preserve"> a </w:t>
      </w:r>
      <w:fldSimple w:instr=" REF _Ref13491843 \h  \* MERGEFORMAT ">
        <w:r>
          <w:t xml:space="preserve">Tabulka </w:t>
        </w:r>
        <w:r>
          <w:rPr>
            <w:noProof/>
          </w:rPr>
          <w:t>11</w:t>
        </w:r>
      </w:fldSimple>
      <w:r>
        <w:t>), což indikuje, že u podniků se zápornou primární EBITDA je cca 2krát větší šance, že budou mít záporný vlastní kapitál, pak na základě logistické regrese při zahrnutí všech analyzovaných proměnných je takto šance téměř stejná. U polarity primárních NSPK byla na základě oddělené analýzy tato šance cca 2,3 a na základě logistické regrese při zahrnutí všech analyzovaných proměnných představuje hodnotu cca 2,1. U polarity deficitu nutné hotovosti je situace taková, že na základě oddělené analýzy je tato šance 1,25 a na základě logistické regrese při zahrnutí všech analyzovaných proměnných představuje hodnotu téměř 0,8. I zde je vidět, že na základě logistické regrese při zahrnutí všech analyzovaných proměnných došlo u všech ukazatelů ke snížení poměru šancí, u polarity deficitu nutné hotovosti ve vztahu k polaritě vlastního kapitálu pak ke snížení stejně jako v předchozím případě na hodnotu nižší než jedna. Stejně jako v předchozím případě je i zde při použití logistické regrese možné sledovat také statistickou významnost jednotlivých finančních charakteristik. Ukazuje se, že na 5% hladině významnosti se žádná z analyzovaných finančních charakteristik nenachází. Na zhruba shodné hladině významnosti se nacházejí polarita primární EBITDA a polarita salda primárních NSPK. Polarita deficitu nutné hotovosti se pak ve vztahu k indikaci předlužení ukazuje jako statisticky nevýznamná.</w:t>
      </w:r>
    </w:p>
    <w:p w:rsidR="008619D2" w:rsidRDefault="008619D2" w:rsidP="008619D2"/>
    <w:p w:rsidR="00E32B04" w:rsidRDefault="00E32B04" w:rsidP="008619D2"/>
    <w:p w:rsidR="00C60A0B" w:rsidRDefault="00C60A0B" w:rsidP="00CD5E97">
      <w:pPr>
        <w:pStyle w:val="Nadpis3"/>
        <w:numPr>
          <w:ilvl w:val="2"/>
          <w:numId w:val="15"/>
        </w:numPr>
      </w:pPr>
      <w:bookmarkStart w:id="95" w:name="_Toc506069342"/>
      <w:bookmarkStart w:id="96" w:name="_Toc506149970"/>
      <w:bookmarkStart w:id="97" w:name="_Toc31054459"/>
      <w:bookmarkEnd w:id="71"/>
      <w:bookmarkEnd w:id="72"/>
      <w:r w:rsidRPr="00CD5E97">
        <w:t>Závěr</w:t>
      </w:r>
      <w:bookmarkEnd w:id="95"/>
      <w:bookmarkEnd w:id="96"/>
      <w:bookmarkEnd w:id="97"/>
    </w:p>
    <w:p w:rsidR="00C60A0B" w:rsidRPr="00A707FB" w:rsidRDefault="00C60A0B" w:rsidP="008619D2">
      <w:r w:rsidRPr="00A707FB">
        <w:t>Bližší pohled na vliv jednotlivých finančních charakteristik na úpadkové indikátory ukazuje zejména vnitřní strukturu tohoto vlivu, a to prostřednictvím šancí a relativních rizik. Precizuje tak předchozí závěry a potvrzuje, že dominantní vliv na úpadkové indikátory podniků, u kterých bylo vyhlášeno moratorium, leží v jejich primárním provozu, tedy v základní provozní marži a v nepeněžních složkách pracovního kapitálu, které pramení z primární provozní (obchodní) činnosti těchto podniků. To znamená, že podniky, které požádaly o moratorium (což ve své podstatě znamená, že byly svou ekonomickou situací „donuceny“ požádat o ochranu před věřiteli), měly problémy a nerovnováhy ve své obchodní podstatě.</w:t>
      </w:r>
    </w:p>
    <w:p w:rsidR="00C60A0B" w:rsidRDefault="00C60A0B" w:rsidP="008619D2">
      <w:pPr>
        <w:rPr>
          <w:lang w:eastAsia="cs-CZ"/>
        </w:rPr>
      </w:pPr>
      <w:r w:rsidRPr="00A707FB">
        <w:t xml:space="preserve">Dále bylo zjištěno, že struktura vlivu vybraných finančních charakteristik těchto podniků při jejich analýze odděleně je shodná i při analýze jejich působení současně. Ukázalo se ale, že poměr šancí při analýze současného vlivu se u všech analyzovaných finančních charakteristik snižuje. Míra tohoto snížení je pak vyšší u vlivu na deficit nutné hotovosti (indikátoru platební neschopnosti) oproti vlivu na polaritu vlastního kapitálu (indikátoru předlužení). </w:t>
      </w:r>
      <w:r w:rsidR="00A707FB">
        <w:t xml:space="preserve"> </w:t>
      </w:r>
    </w:p>
    <w:p w:rsidR="00C60A0B" w:rsidRPr="00A403CD" w:rsidRDefault="00C60A0B" w:rsidP="005A5A62">
      <w:pPr>
        <w:pStyle w:val="Nadpis2"/>
        <w:numPr>
          <w:ilvl w:val="1"/>
          <w:numId w:val="15"/>
        </w:numPr>
      </w:pPr>
      <w:r>
        <w:br w:type="page"/>
      </w:r>
      <w:bookmarkStart w:id="98" w:name="_Toc31054460"/>
      <w:r w:rsidRPr="00F25673">
        <w:rPr>
          <w:rStyle w:val="Siln"/>
          <w:rFonts w:cs="Times New Roman"/>
          <w:b/>
          <w:bCs/>
        </w:rPr>
        <w:lastRenderedPageBreak/>
        <w:t>Finanční charakteristiky podniků</w:t>
      </w:r>
      <w:r w:rsidR="00A707FB">
        <w:rPr>
          <w:rStyle w:val="Siln"/>
          <w:rFonts w:cs="Times New Roman"/>
          <w:b/>
          <w:bCs/>
        </w:rPr>
        <w:t xml:space="preserve">, </w:t>
      </w:r>
      <w:r w:rsidR="00E32B04">
        <w:rPr>
          <w:rStyle w:val="Siln"/>
          <w:rFonts w:cs="Times New Roman"/>
          <w:b/>
          <w:bCs/>
        </w:rPr>
        <w:t>jejichž sanace byla řešena tzv</w:t>
      </w:r>
      <w:r w:rsidR="006B3B62">
        <w:rPr>
          <w:rStyle w:val="Siln"/>
          <w:rFonts w:cs="Times New Roman"/>
          <w:b/>
          <w:bCs/>
        </w:rPr>
        <w:t>.</w:t>
      </w:r>
      <w:r w:rsidR="00E32B04">
        <w:rPr>
          <w:rStyle w:val="Siln"/>
          <w:rFonts w:cs="Times New Roman"/>
          <w:b/>
          <w:bCs/>
        </w:rPr>
        <w:t xml:space="preserve"> předbalenou reorganizací</w:t>
      </w:r>
      <w:bookmarkEnd w:id="98"/>
    </w:p>
    <w:p w:rsidR="00C60A0B" w:rsidRDefault="00C60A0B">
      <w:pPr>
        <w:jc w:val="left"/>
        <w:rPr>
          <w:lang w:eastAsia="cs-CZ"/>
        </w:rPr>
      </w:pPr>
    </w:p>
    <w:p w:rsidR="00DD509A" w:rsidRPr="002A263C" w:rsidRDefault="00A707FB" w:rsidP="00DD509A">
      <w:r>
        <w:rPr>
          <w:lang w:eastAsia="cs-CZ"/>
        </w:rPr>
        <w:t>Vzhledem k tomu, že výsledky z této části jsou</w:t>
      </w:r>
      <w:r w:rsidR="00CD5E97">
        <w:rPr>
          <w:lang w:eastAsia="cs-CZ"/>
        </w:rPr>
        <w:t xml:space="preserve"> popsány a hrnuty ve vědeckém článku, který je nyní</w:t>
      </w:r>
      <w:r>
        <w:rPr>
          <w:lang w:eastAsia="cs-CZ"/>
        </w:rPr>
        <w:t xml:space="preserve"> v</w:t>
      </w:r>
      <w:r w:rsidR="00CD5E97">
        <w:rPr>
          <w:lang w:eastAsia="cs-CZ"/>
        </w:rPr>
        <w:t xml:space="preserve"> odborném </w:t>
      </w:r>
      <w:r>
        <w:rPr>
          <w:lang w:eastAsia="cs-CZ"/>
        </w:rPr>
        <w:t xml:space="preserve">recenzním řízení v zahraničním </w:t>
      </w:r>
      <w:proofErr w:type="gramStart"/>
      <w:r>
        <w:rPr>
          <w:lang w:eastAsia="cs-CZ"/>
        </w:rPr>
        <w:t>vědecké</w:t>
      </w:r>
      <w:proofErr w:type="gramEnd"/>
      <w:r>
        <w:rPr>
          <w:lang w:eastAsia="cs-CZ"/>
        </w:rPr>
        <w:t xml:space="preserve"> časopis</w:t>
      </w:r>
      <w:r w:rsidR="00CD5E97">
        <w:rPr>
          <w:lang w:eastAsia="cs-CZ"/>
        </w:rPr>
        <w:t>e</w:t>
      </w:r>
      <w:r>
        <w:rPr>
          <w:lang w:eastAsia="cs-CZ"/>
        </w:rPr>
        <w:t xml:space="preserve"> s nenulovým Impact factorem. Jsou výsledky</w:t>
      </w:r>
      <w:r w:rsidR="00CD5E97">
        <w:rPr>
          <w:lang w:eastAsia="cs-CZ"/>
        </w:rPr>
        <w:t xml:space="preserve"> (článek) uvedeny</w:t>
      </w:r>
      <w:r>
        <w:rPr>
          <w:lang w:eastAsia="cs-CZ"/>
        </w:rPr>
        <w:t xml:space="preserve"> v příloze </w:t>
      </w:r>
      <w:r w:rsidR="00DD509A">
        <w:rPr>
          <w:lang w:eastAsia="cs-CZ"/>
        </w:rPr>
        <w:t xml:space="preserve">č. 1 </w:t>
      </w:r>
      <w:r>
        <w:rPr>
          <w:lang w:eastAsia="cs-CZ"/>
        </w:rPr>
        <w:t>v anglickém jazyce</w:t>
      </w:r>
      <w:r w:rsidR="00DD509A">
        <w:rPr>
          <w:lang w:eastAsia="cs-CZ"/>
        </w:rPr>
        <w:t xml:space="preserve"> (</w:t>
      </w:r>
      <w:r w:rsidR="00CD5E97">
        <w:rPr>
          <w:lang w:eastAsia="cs-CZ"/>
        </w:rPr>
        <w:t>název článku „</w:t>
      </w:r>
      <w:r w:rsidR="00DD509A">
        <w:t>Financial situation of pre-packed insolvencies</w:t>
      </w:r>
      <w:r w:rsidR="00CD5E97">
        <w:t>“</w:t>
      </w:r>
      <w:r w:rsidR="00DD509A">
        <w:t>)</w:t>
      </w:r>
    </w:p>
    <w:p w:rsidR="00C60A0B" w:rsidRDefault="00A707FB" w:rsidP="00C60A0B">
      <w:pPr>
        <w:spacing w:before="120" w:after="240" w:line="240" w:lineRule="auto"/>
        <w:rPr>
          <w:lang w:eastAsia="cs-CZ"/>
        </w:rPr>
      </w:pPr>
      <w:r>
        <w:rPr>
          <w:lang w:eastAsia="cs-CZ"/>
        </w:rPr>
        <w:t>.</w:t>
      </w:r>
    </w:p>
    <w:p w:rsidR="00A707FB" w:rsidRDefault="00A707FB" w:rsidP="00C60A0B">
      <w:pPr>
        <w:spacing w:before="120" w:after="240" w:line="240" w:lineRule="auto"/>
        <w:rPr>
          <w:lang w:eastAsia="cs-CZ"/>
        </w:rPr>
      </w:pPr>
    </w:p>
    <w:p w:rsidR="00BE4CF9" w:rsidRPr="00A403CD" w:rsidRDefault="00BE4CF9" w:rsidP="005A5A62">
      <w:pPr>
        <w:pStyle w:val="Nadpis2"/>
        <w:numPr>
          <w:ilvl w:val="1"/>
          <w:numId w:val="15"/>
        </w:numPr>
      </w:pPr>
      <w:bookmarkStart w:id="99" w:name="_Toc31054461"/>
      <w:r w:rsidRPr="00F25673">
        <w:rPr>
          <w:rStyle w:val="Siln"/>
          <w:rFonts w:cs="Times New Roman"/>
          <w:b/>
          <w:bCs/>
        </w:rPr>
        <w:t xml:space="preserve">Finanční charakteristiky podniků, jejichž krize byla řešena v rámci insolvenčního řízení (analýza finančních charakteristik </w:t>
      </w:r>
      <w:r w:rsidRPr="007E0D2A">
        <w:rPr>
          <w:rStyle w:val="Siln"/>
          <w:b/>
          <w:bCs/>
        </w:rPr>
        <w:t>úpadkových</w:t>
      </w:r>
      <w:r w:rsidRPr="00F25673">
        <w:rPr>
          <w:rStyle w:val="Siln"/>
          <w:rFonts w:cs="Times New Roman"/>
          <w:b/>
          <w:bCs/>
        </w:rPr>
        <w:t xml:space="preserve"> podniků</w:t>
      </w:r>
      <w:r w:rsidRPr="00A403CD">
        <w:rPr>
          <w:rStyle w:val="Siln"/>
          <w:rFonts w:cs="Times New Roman"/>
          <w:b/>
          <w:bCs/>
          <w:i/>
        </w:rPr>
        <w:t>)</w:t>
      </w:r>
      <w:bookmarkEnd w:id="99"/>
    </w:p>
    <w:p w:rsidR="005343D3" w:rsidRPr="00A403CD" w:rsidRDefault="00451E32" w:rsidP="004C37F5">
      <w:pPr>
        <w:spacing w:before="120" w:after="240" w:line="240" w:lineRule="auto"/>
        <w:rPr>
          <w:rFonts w:cs="Times New Roman"/>
          <w:szCs w:val="24"/>
        </w:rPr>
      </w:pPr>
      <w:r w:rsidRPr="00A403CD">
        <w:rPr>
          <w:rFonts w:cs="Times New Roman"/>
          <w:szCs w:val="24"/>
        </w:rPr>
        <w:t>Výsledky analýzy fi</w:t>
      </w:r>
      <w:r w:rsidR="00074DC4" w:rsidRPr="00A403CD">
        <w:rPr>
          <w:rFonts w:cs="Times New Roman"/>
          <w:szCs w:val="24"/>
        </w:rPr>
        <w:t>n</w:t>
      </w:r>
      <w:r w:rsidRPr="00A403CD">
        <w:rPr>
          <w:rFonts w:cs="Times New Roman"/>
          <w:szCs w:val="24"/>
        </w:rPr>
        <w:t>ančních c</w:t>
      </w:r>
      <w:r w:rsidR="00074DC4" w:rsidRPr="00A403CD">
        <w:rPr>
          <w:rFonts w:cs="Times New Roman"/>
          <w:szCs w:val="24"/>
        </w:rPr>
        <w:t>harakteristik úpadkových podniků byly prezentovány na odborném kolokviu konaném na Vysoké škole ekonomické v Praze v dubnu 2019</w:t>
      </w:r>
      <w:r w:rsidR="005343D3" w:rsidRPr="00A403CD">
        <w:rPr>
          <w:rFonts w:cs="Times New Roman"/>
          <w:szCs w:val="24"/>
        </w:rPr>
        <w:t xml:space="preserve">. Cílem kolokvia </w:t>
      </w:r>
      <w:r w:rsidR="00074DC4" w:rsidRPr="00A403CD">
        <w:rPr>
          <w:rFonts w:cs="Times New Roman"/>
          <w:szCs w:val="24"/>
        </w:rPr>
        <w:t>byla</w:t>
      </w:r>
      <w:r w:rsidR="005343D3" w:rsidRPr="00A403CD">
        <w:rPr>
          <w:rFonts w:cs="Times New Roman"/>
          <w:szCs w:val="24"/>
        </w:rPr>
        <w:t xml:space="preserve"> odborná diskuse na téma finančních charakteristik podniků, jejichž krize dospěla až do úpadku. Finanční charakteristiky </w:t>
      </w:r>
      <w:r w:rsidR="00074DC4" w:rsidRPr="00A403CD">
        <w:rPr>
          <w:rFonts w:cs="Times New Roman"/>
          <w:szCs w:val="24"/>
        </w:rPr>
        <w:t>byly</w:t>
      </w:r>
      <w:r w:rsidR="005343D3" w:rsidRPr="00A403CD">
        <w:rPr>
          <w:rFonts w:cs="Times New Roman"/>
          <w:szCs w:val="24"/>
        </w:rPr>
        <w:t xml:space="preserve"> analyzován</w:t>
      </w:r>
      <w:r w:rsidR="007C45E1" w:rsidRPr="00A403CD">
        <w:rPr>
          <w:rFonts w:cs="Times New Roman"/>
          <w:szCs w:val="24"/>
        </w:rPr>
        <w:t>y</w:t>
      </w:r>
      <w:r w:rsidR="005343D3" w:rsidRPr="00A403CD">
        <w:rPr>
          <w:rFonts w:cs="Times New Roman"/>
          <w:szCs w:val="24"/>
        </w:rPr>
        <w:t xml:space="preserve"> </w:t>
      </w:r>
      <w:r w:rsidR="007C45E1" w:rsidRPr="00A403CD">
        <w:rPr>
          <w:rFonts w:cs="Times New Roman"/>
          <w:szCs w:val="24"/>
        </w:rPr>
        <w:t>z</w:t>
      </w:r>
      <w:r w:rsidR="005343D3" w:rsidRPr="00A403CD">
        <w:rPr>
          <w:rFonts w:cs="Times New Roman"/>
          <w:szCs w:val="24"/>
        </w:rPr>
        <w:t xml:space="preserve">a období jednoho, dvou a tří let před zjištěním úpadku. Diskuse </w:t>
      </w:r>
      <w:r w:rsidR="00074DC4" w:rsidRPr="00A403CD">
        <w:rPr>
          <w:rFonts w:cs="Times New Roman"/>
          <w:szCs w:val="24"/>
        </w:rPr>
        <w:t>byla</w:t>
      </w:r>
      <w:r w:rsidR="005343D3" w:rsidRPr="00A403CD">
        <w:rPr>
          <w:rFonts w:cs="Times New Roman"/>
          <w:szCs w:val="24"/>
        </w:rPr>
        <w:t xml:space="preserve"> v rámci </w:t>
      </w:r>
      <w:r w:rsidR="00074DC4" w:rsidRPr="00A403CD">
        <w:rPr>
          <w:rFonts w:cs="Times New Roman"/>
          <w:szCs w:val="24"/>
        </w:rPr>
        <w:t>tohoto</w:t>
      </w:r>
      <w:r w:rsidR="005343D3" w:rsidRPr="00A403CD">
        <w:rPr>
          <w:rFonts w:cs="Times New Roman"/>
          <w:szCs w:val="24"/>
        </w:rPr>
        <w:t xml:space="preserve"> výzkumného projektu zaměřena na případnou možnost předejití úpadku formou preventivní restrukturalizace, kterou navrhuje implementovat Evropská komise v členských zemích Evropské unie. Klíčovým faktorem takové možnosti je okamžik, ve kterém má ekonomický smysl restrukturalizaci provést a úpadek tak odvrátit.</w:t>
      </w:r>
    </w:p>
    <w:p w:rsidR="009E0022" w:rsidRPr="00A453B2" w:rsidRDefault="009E0022" w:rsidP="005A5A62">
      <w:pPr>
        <w:pStyle w:val="Nadpis3"/>
        <w:numPr>
          <w:ilvl w:val="2"/>
          <w:numId w:val="15"/>
        </w:numPr>
      </w:pPr>
      <w:bookmarkStart w:id="100" w:name="_Toc31054462"/>
      <w:r w:rsidRPr="00A453B2">
        <w:t>Data a metodika</w:t>
      </w:r>
      <w:bookmarkEnd w:id="100"/>
    </w:p>
    <w:p w:rsidR="00B74CAA" w:rsidRDefault="00B74CAA" w:rsidP="000C1EA6">
      <w:r w:rsidRPr="00A453B2">
        <w:t xml:space="preserve">Finanční charakteristiky </w:t>
      </w:r>
      <w:r w:rsidR="00451E32" w:rsidRPr="00A453B2">
        <w:t>byly</w:t>
      </w:r>
      <w:r w:rsidRPr="00A453B2">
        <w:t xml:space="preserve"> zkoumány na souboru </w:t>
      </w:r>
      <w:r w:rsidR="006F3646" w:rsidRPr="00A453B2">
        <w:t>celkem 2</w:t>
      </w:r>
      <w:r w:rsidR="001F0BD8" w:rsidRPr="00A453B2">
        <w:t> </w:t>
      </w:r>
      <w:r w:rsidR="006F3646" w:rsidRPr="00A453B2">
        <w:t>282 finančních výkazů</w:t>
      </w:r>
      <w:r w:rsidRPr="00A453B2">
        <w:t xml:space="preserve"> podniků, které v letech 2009 až 2018 skončily v úpadku, a u kterých jsou dostupné finanční údaje (zejména za období jednoho roku před úpadkem).</w:t>
      </w:r>
      <w:r w:rsidR="006F3646" w:rsidRPr="00A453B2">
        <w:t xml:space="preserve"> Strukturu datového souboru prezentuje následující tabulka.</w:t>
      </w:r>
    </w:p>
    <w:p w:rsidR="000C1EA6" w:rsidRPr="00A453B2" w:rsidRDefault="000C1EA6" w:rsidP="000C1EA6"/>
    <w:p w:rsidR="00B67E2E" w:rsidRDefault="00B67E2E" w:rsidP="00B67E2E">
      <w:pPr>
        <w:pStyle w:val="Titulek"/>
        <w:keepNext/>
      </w:pPr>
      <w:bookmarkStart w:id="101" w:name="_Toc31054811"/>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35</w:t>
      </w:r>
      <w:r w:rsidR="00163A91">
        <w:rPr>
          <w:noProof/>
        </w:rPr>
        <w:fldChar w:fldCharType="end"/>
      </w:r>
      <w:r w:rsidR="007772C5">
        <w:t xml:space="preserve"> Struktura zkoumaného datového souboru</w:t>
      </w:r>
      <w:bookmarkEnd w:id="101"/>
    </w:p>
    <w:tbl>
      <w:tblPr>
        <w:tblW w:w="9015" w:type="dxa"/>
        <w:tblCellMar>
          <w:left w:w="70" w:type="dxa"/>
          <w:right w:w="70" w:type="dxa"/>
        </w:tblCellMar>
        <w:tblLook w:val="04A0"/>
      </w:tblPr>
      <w:tblGrid>
        <w:gridCol w:w="3829"/>
        <w:gridCol w:w="5186"/>
      </w:tblGrid>
      <w:tr w:rsidR="006F3646" w:rsidRPr="00A453B2" w:rsidTr="006F3646">
        <w:trPr>
          <w:trHeight w:val="255"/>
        </w:trPr>
        <w:tc>
          <w:tcPr>
            <w:tcW w:w="3829" w:type="dxa"/>
            <w:tcBorders>
              <w:top w:val="single" w:sz="4" w:space="0" w:color="808080"/>
              <w:left w:val="nil"/>
              <w:bottom w:val="single" w:sz="4" w:space="0" w:color="808080"/>
              <w:right w:val="nil"/>
            </w:tcBorders>
            <w:shd w:val="clear" w:color="auto" w:fill="auto"/>
            <w:noWrap/>
            <w:vAlign w:val="bottom"/>
            <w:hideMark/>
          </w:tcPr>
          <w:p w:rsidR="006F3646" w:rsidRPr="007772C5" w:rsidRDefault="006F3646" w:rsidP="000C1EA6">
            <w:pPr>
              <w:rPr>
                <w:sz w:val="18"/>
                <w:szCs w:val="18"/>
                <w:lang w:eastAsia="cs-CZ"/>
              </w:rPr>
            </w:pPr>
            <w:r w:rsidRPr="007772C5">
              <w:rPr>
                <w:sz w:val="18"/>
                <w:szCs w:val="18"/>
                <w:lang w:eastAsia="cs-CZ"/>
              </w:rPr>
              <w:t>Období před úpadkem</w:t>
            </w:r>
          </w:p>
        </w:tc>
        <w:tc>
          <w:tcPr>
            <w:tcW w:w="5186" w:type="dxa"/>
            <w:tcBorders>
              <w:top w:val="single" w:sz="4" w:space="0" w:color="808080"/>
              <w:left w:val="nil"/>
              <w:bottom w:val="single" w:sz="4" w:space="0" w:color="808080"/>
              <w:right w:val="nil"/>
            </w:tcBorders>
            <w:shd w:val="clear" w:color="auto" w:fill="auto"/>
            <w:noWrap/>
            <w:vAlign w:val="bottom"/>
            <w:hideMark/>
          </w:tcPr>
          <w:p w:rsidR="006F3646" w:rsidRPr="007772C5" w:rsidRDefault="006F3646" w:rsidP="000C1EA6">
            <w:pPr>
              <w:rPr>
                <w:sz w:val="18"/>
                <w:szCs w:val="18"/>
                <w:lang w:eastAsia="cs-CZ"/>
              </w:rPr>
            </w:pPr>
            <w:r w:rsidRPr="007772C5">
              <w:rPr>
                <w:sz w:val="18"/>
                <w:szCs w:val="18"/>
                <w:lang w:eastAsia="cs-CZ"/>
              </w:rPr>
              <w:t>Počet finančních výkazů / podniků</w:t>
            </w:r>
          </w:p>
        </w:tc>
      </w:tr>
      <w:tr w:rsidR="006F3646" w:rsidRPr="00A453B2" w:rsidTr="006F3646">
        <w:trPr>
          <w:trHeight w:val="255"/>
        </w:trPr>
        <w:tc>
          <w:tcPr>
            <w:tcW w:w="3829" w:type="dxa"/>
            <w:tcBorders>
              <w:top w:val="single" w:sz="4" w:space="0" w:color="D9D9D9"/>
              <w:left w:val="nil"/>
              <w:bottom w:val="single" w:sz="4" w:space="0" w:color="D9D9D9"/>
              <w:right w:val="nil"/>
            </w:tcBorders>
            <w:shd w:val="clear" w:color="auto" w:fill="auto"/>
            <w:noWrap/>
            <w:vAlign w:val="bottom"/>
            <w:hideMark/>
          </w:tcPr>
          <w:p w:rsidR="006F3646" w:rsidRPr="007772C5" w:rsidRDefault="006F3646" w:rsidP="000C1EA6">
            <w:pPr>
              <w:rPr>
                <w:sz w:val="18"/>
                <w:szCs w:val="18"/>
                <w:lang w:eastAsia="cs-CZ"/>
              </w:rPr>
            </w:pPr>
            <w:r w:rsidRPr="007772C5">
              <w:rPr>
                <w:sz w:val="18"/>
                <w:szCs w:val="18"/>
                <w:lang w:eastAsia="cs-CZ"/>
              </w:rPr>
              <w:t>1 rok před úpadkem</w:t>
            </w:r>
          </w:p>
        </w:tc>
        <w:tc>
          <w:tcPr>
            <w:tcW w:w="5186" w:type="dxa"/>
            <w:tcBorders>
              <w:top w:val="single" w:sz="4" w:space="0" w:color="D9D9D9"/>
              <w:left w:val="nil"/>
              <w:bottom w:val="single" w:sz="4" w:space="0" w:color="D9D9D9"/>
              <w:right w:val="nil"/>
            </w:tcBorders>
            <w:shd w:val="clear" w:color="auto" w:fill="auto"/>
            <w:noWrap/>
            <w:vAlign w:val="bottom"/>
            <w:hideMark/>
          </w:tcPr>
          <w:p w:rsidR="006F3646" w:rsidRPr="007772C5" w:rsidRDefault="006F3646" w:rsidP="000C1EA6">
            <w:pPr>
              <w:rPr>
                <w:sz w:val="18"/>
                <w:szCs w:val="18"/>
                <w:lang w:eastAsia="cs-CZ"/>
              </w:rPr>
            </w:pPr>
            <w:r w:rsidRPr="007772C5">
              <w:rPr>
                <w:sz w:val="18"/>
                <w:szCs w:val="18"/>
                <w:lang w:eastAsia="cs-CZ"/>
              </w:rPr>
              <w:t>827</w:t>
            </w:r>
          </w:p>
        </w:tc>
      </w:tr>
      <w:tr w:rsidR="006F3646" w:rsidRPr="00A453B2" w:rsidTr="006F3646">
        <w:trPr>
          <w:trHeight w:val="255"/>
        </w:trPr>
        <w:tc>
          <w:tcPr>
            <w:tcW w:w="3829" w:type="dxa"/>
            <w:tcBorders>
              <w:top w:val="single" w:sz="4" w:space="0" w:color="D9D9D9"/>
              <w:left w:val="nil"/>
              <w:bottom w:val="single" w:sz="4" w:space="0" w:color="D9D9D9"/>
              <w:right w:val="nil"/>
            </w:tcBorders>
            <w:shd w:val="clear" w:color="auto" w:fill="auto"/>
            <w:noWrap/>
            <w:vAlign w:val="bottom"/>
            <w:hideMark/>
          </w:tcPr>
          <w:p w:rsidR="006F3646" w:rsidRPr="007772C5" w:rsidRDefault="006F3646" w:rsidP="000C1EA6">
            <w:pPr>
              <w:rPr>
                <w:sz w:val="18"/>
                <w:szCs w:val="18"/>
                <w:lang w:eastAsia="cs-CZ"/>
              </w:rPr>
            </w:pPr>
            <w:r w:rsidRPr="007772C5">
              <w:rPr>
                <w:sz w:val="18"/>
                <w:szCs w:val="18"/>
                <w:lang w:eastAsia="cs-CZ"/>
              </w:rPr>
              <w:t>2 roky před úpadkem</w:t>
            </w:r>
          </w:p>
        </w:tc>
        <w:tc>
          <w:tcPr>
            <w:tcW w:w="5186" w:type="dxa"/>
            <w:tcBorders>
              <w:top w:val="single" w:sz="4" w:space="0" w:color="D9D9D9"/>
              <w:left w:val="nil"/>
              <w:bottom w:val="single" w:sz="4" w:space="0" w:color="D9D9D9"/>
              <w:right w:val="nil"/>
            </w:tcBorders>
            <w:shd w:val="clear" w:color="auto" w:fill="auto"/>
            <w:noWrap/>
            <w:vAlign w:val="bottom"/>
            <w:hideMark/>
          </w:tcPr>
          <w:p w:rsidR="006F3646" w:rsidRPr="007772C5" w:rsidRDefault="006F3646" w:rsidP="000C1EA6">
            <w:pPr>
              <w:rPr>
                <w:sz w:val="18"/>
                <w:szCs w:val="18"/>
                <w:lang w:eastAsia="cs-CZ"/>
              </w:rPr>
            </w:pPr>
            <w:r w:rsidRPr="007772C5">
              <w:rPr>
                <w:sz w:val="18"/>
                <w:szCs w:val="18"/>
                <w:lang w:eastAsia="cs-CZ"/>
              </w:rPr>
              <w:t>759</w:t>
            </w:r>
          </w:p>
        </w:tc>
      </w:tr>
      <w:tr w:rsidR="006F3646" w:rsidRPr="00A453B2" w:rsidTr="006F3646">
        <w:trPr>
          <w:trHeight w:val="255"/>
        </w:trPr>
        <w:tc>
          <w:tcPr>
            <w:tcW w:w="3829" w:type="dxa"/>
            <w:tcBorders>
              <w:top w:val="single" w:sz="4" w:space="0" w:color="D9D9D9"/>
              <w:left w:val="nil"/>
              <w:bottom w:val="single" w:sz="4" w:space="0" w:color="D9D9D9"/>
              <w:right w:val="nil"/>
            </w:tcBorders>
            <w:shd w:val="clear" w:color="auto" w:fill="auto"/>
            <w:noWrap/>
            <w:vAlign w:val="bottom"/>
            <w:hideMark/>
          </w:tcPr>
          <w:p w:rsidR="006F3646" w:rsidRPr="007772C5" w:rsidRDefault="006F3646" w:rsidP="000C1EA6">
            <w:pPr>
              <w:rPr>
                <w:sz w:val="18"/>
                <w:szCs w:val="18"/>
                <w:lang w:eastAsia="cs-CZ"/>
              </w:rPr>
            </w:pPr>
            <w:r w:rsidRPr="007772C5">
              <w:rPr>
                <w:sz w:val="18"/>
                <w:szCs w:val="18"/>
                <w:lang w:eastAsia="cs-CZ"/>
              </w:rPr>
              <w:t>3 roky před úpadkem</w:t>
            </w:r>
          </w:p>
        </w:tc>
        <w:tc>
          <w:tcPr>
            <w:tcW w:w="5186" w:type="dxa"/>
            <w:tcBorders>
              <w:top w:val="single" w:sz="4" w:space="0" w:color="D9D9D9"/>
              <w:left w:val="nil"/>
              <w:bottom w:val="single" w:sz="4" w:space="0" w:color="D9D9D9"/>
              <w:right w:val="nil"/>
            </w:tcBorders>
            <w:shd w:val="clear" w:color="auto" w:fill="auto"/>
            <w:noWrap/>
            <w:vAlign w:val="bottom"/>
            <w:hideMark/>
          </w:tcPr>
          <w:p w:rsidR="006F3646" w:rsidRPr="007772C5" w:rsidRDefault="006F3646" w:rsidP="000C1EA6">
            <w:pPr>
              <w:rPr>
                <w:sz w:val="18"/>
                <w:szCs w:val="18"/>
                <w:lang w:eastAsia="cs-CZ"/>
              </w:rPr>
            </w:pPr>
            <w:r w:rsidRPr="007772C5">
              <w:rPr>
                <w:sz w:val="18"/>
                <w:szCs w:val="18"/>
                <w:lang w:eastAsia="cs-CZ"/>
              </w:rPr>
              <w:t>696</w:t>
            </w:r>
          </w:p>
        </w:tc>
      </w:tr>
      <w:tr w:rsidR="006F3646" w:rsidRPr="00A453B2" w:rsidTr="006F3646">
        <w:trPr>
          <w:trHeight w:val="255"/>
        </w:trPr>
        <w:tc>
          <w:tcPr>
            <w:tcW w:w="3829" w:type="dxa"/>
            <w:tcBorders>
              <w:top w:val="single" w:sz="4" w:space="0" w:color="808080"/>
              <w:left w:val="nil"/>
              <w:bottom w:val="single" w:sz="4" w:space="0" w:color="808080"/>
              <w:right w:val="nil"/>
            </w:tcBorders>
            <w:shd w:val="clear" w:color="FFFFFF" w:fill="FFFFFF"/>
            <w:noWrap/>
            <w:vAlign w:val="bottom"/>
            <w:hideMark/>
          </w:tcPr>
          <w:p w:rsidR="006F3646" w:rsidRPr="007772C5" w:rsidRDefault="006F3646" w:rsidP="000C1EA6">
            <w:pPr>
              <w:rPr>
                <w:sz w:val="18"/>
                <w:szCs w:val="18"/>
                <w:lang w:eastAsia="cs-CZ"/>
              </w:rPr>
            </w:pPr>
            <w:r w:rsidRPr="007772C5">
              <w:rPr>
                <w:sz w:val="18"/>
                <w:szCs w:val="18"/>
                <w:lang w:eastAsia="cs-CZ"/>
              </w:rPr>
              <w:t>Celkový součet</w:t>
            </w:r>
          </w:p>
        </w:tc>
        <w:tc>
          <w:tcPr>
            <w:tcW w:w="5186" w:type="dxa"/>
            <w:tcBorders>
              <w:top w:val="single" w:sz="4" w:space="0" w:color="808080"/>
              <w:left w:val="nil"/>
              <w:bottom w:val="single" w:sz="4" w:space="0" w:color="808080"/>
              <w:right w:val="nil"/>
            </w:tcBorders>
            <w:shd w:val="clear" w:color="FFFFFF" w:fill="FFFFFF"/>
            <w:noWrap/>
            <w:vAlign w:val="bottom"/>
            <w:hideMark/>
          </w:tcPr>
          <w:p w:rsidR="006F3646" w:rsidRPr="007772C5" w:rsidRDefault="006F3646" w:rsidP="000C1EA6">
            <w:pPr>
              <w:rPr>
                <w:sz w:val="18"/>
                <w:szCs w:val="18"/>
                <w:lang w:eastAsia="cs-CZ"/>
              </w:rPr>
            </w:pPr>
            <w:r w:rsidRPr="007772C5">
              <w:rPr>
                <w:sz w:val="18"/>
                <w:szCs w:val="18"/>
                <w:lang w:eastAsia="cs-CZ"/>
              </w:rPr>
              <w:t>2</w:t>
            </w:r>
            <w:r w:rsidR="001F0BD8" w:rsidRPr="007772C5">
              <w:rPr>
                <w:sz w:val="18"/>
                <w:szCs w:val="18"/>
                <w:lang w:eastAsia="cs-CZ"/>
              </w:rPr>
              <w:t xml:space="preserve"> </w:t>
            </w:r>
            <w:r w:rsidRPr="007772C5">
              <w:rPr>
                <w:sz w:val="18"/>
                <w:szCs w:val="18"/>
                <w:lang w:eastAsia="cs-CZ"/>
              </w:rPr>
              <w:t>282</w:t>
            </w:r>
          </w:p>
        </w:tc>
      </w:tr>
    </w:tbl>
    <w:p w:rsidR="005343D3" w:rsidRDefault="001F0BD8" w:rsidP="007772C5">
      <w:pPr>
        <w:spacing w:before="120" w:after="240"/>
      </w:pPr>
      <w:r w:rsidRPr="00A453B2">
        <w:t>Na datovém souboru byly analyzovány následující finanční charakteristiky.</w:t>
      </w:r>
    </w:p>
    <w:p w:rsidR="0058267B" w:rsidRPr="00CB5C00" w:rsidRDefault="0058267B" w:rsidP="005A5A62">
      <w:pPr>
        <w:pStyle w:val="Nadpis3"/>
        <w:numPr>
          <w:ilvl w:val="2"/>
          <w:numId w:val="15"/>
        </w:numPr>
      </w:pPr>
      <w:bookmarkStart w:id="102" w:name="_Toc31054463"/>
      <w:r w:rsidRPr="00CB5C00">
        <w:t>Poměrové ukazatele</w:t>
      </w:r>
      <w:bookmarkEnd w:id="102"/>
    </w:p>
    <w:p w:rsidR="001F0BD8" w:rsidRPr="00A453B2" w:rsidRDefault="001F0BD8" w:rsidP="00A453B2">
      <w:pPr>
        <w:pStyle w:val="Styl1"/>
        <w:rPr>
          <w:rFonts w:cs="Times New Roman"/>
        </w:rPr>
      </w:pPr>
      <w:r w:rsidRPr="00A453B2">
        <w:rPr>
          <w:rFonts w:cs="Times New Roman"/>
          <w:b/>
        </w:rPr>
        <w:lastRenderedPageBreak/>
        <w:t>Poměrové ukazatele</w:t>
      </w:r>
      <w:r w:rsidRPr="00A453B2">
        <w:rPr>
          <w:rFonts w:cs="Times New Roman"/>
        </w:rPr>
        <w:t>, u kterých byly analyzovány jejich průměr, 5% redukovaný průměr a medián, a za období jednoho, dvou a tří let před zjištěním úpadku. Byly zvoleny následující poměrové ukazatele.</w:t>
      </w:r>
    </w:p>
    <w:p w:rsidR="001F0BD8" w:rsidRPr="0058267B" w:rsidRDefault="001F0BD8" w:rsidP="004C37F5">
      <w:pPr>
        <w:spacing w:before="120" w:after="240" w:line="240" w:lineRule="auto"/>
        <w:rPr>
          <w:rFonts w:cs="Times New Roman"/>
          <w:i/>
          <w:szCs w:val="24"/>
        </w:rPr>
      </w:pPr>
      <w:r w:rsidRPr="0058267B">
        <w:rPr>
          <w:rFonts w:cs="Times New Roman"/>
          <w:i/>
          <w:szCs w:val="24"/>
        </w:rPr>
        <w:t>Marže z výkonů</w:t>
      </w:r>
    </w:p>
    <w:p w:rsidR="001F0BD8" w:rsidRPr="00A453B2" w:rsidRDefault="001F0BD8" w:rsidP="005A5A62">
      <w:pPr>
        <w:pStyle w:val="Odstavecseseznamem"/>
        <w:numPr>
          <w:ilvl w:val="0"/>
          <w:numId w:val="2"/>
        </w:numPr>
        <w:spacing w:before="120" w:after="240" w:line="240" w:lineRule="auto"/>
        <w:ind w:left="0"/>
        <w:rPr>
          <w:rFonts w:cs="Times New Roman"/>
          <w:szCs w:val="24"/>
        </w:rPr>
      </w:pPr>
      <w:r w:rsidRPr="00A453B2">
        <w:rPr>
          <w:rFonts w:cs="Times New Roman"/>
          <w:szCs w:val="24"/>
        </w:rPr>
        <w:t>Marže přidané hodnoty</w:t>
      </w:r>
    </w:p>
    <w:p w:rsidR="001F0BD8" w:rsidRPr="00A453B2" w:rsidRDefault="001F0BD8" w:rsidP="005A5A62">
      <w:pPr>
        <w:pStyle w:val="Odstavecseseznamem"/>
        <w:numPr>
          <w:ilvl w:val="0"/>
          <w:numId w:val="2"/>
        </w:numPr>
        <w:spacing w:before="120" w:after="240" w:line="240" w:lineRule="auto"/>
        <w:ind w:left="0"/>
        <w:rPr>
          <w:rFonts w:cs="Times New Roman"/>
          <w:szCs w:val="24"/>
        </w:rPr>
      </w:pPr>
      <w:r w:rsidRPr="00A453B2">
        <w:rPr>
          <w:rFonts w:cs="Times New Roman"/>
          <w:szCs w:val="24"/>
        </w:rPr>
        <w:t>Marže primární EBITDA</w:t>
      </w:r>
    </w:p>
    <w:p w:rsidR="001F0BD8" w:rsidRPr="00A453B2" w:rsidRDefault="001F0BD8" w:rsidP="005A5A62">
      <w:pPr>
        <w:pStyle w:val="Odstavecseseznamem"/>
        <w:numPr>
          <w:ilvl w:val="0"/>
          <w:numId w:val="2"/>
        </w:numPr>
        <w:spacing w:before="120" w:after="240" w:line="240" w:lineRule="auto"/>
        <w:ind w:left="0"/>
        <w:rPr>
          <w:rFonts w:cs="Times New Roman"/>
          <w:szCs w:val="24"/>
        </w:rPr>
      </w:pPr>
      <w:r w:rsidRPr="00A453B2">
        <w:rPr>
          <w:rFonts w:cs="Times New Roman"/>
          <w:szCs w:val="24"/>
        </w:rPr>
        <w:t>Marže provozní EBITDA</w:t>
      </w:r>
    </w:p>
    <w:p w:rsidR="001F0BD8" w:rsidRPr="00A453B2" w:rsidRDefault="001F0BD8" w:rsidP="005A5A62">
      <w:pPr>
        <w:pStyle w:val="Odstavecseseznamem"/>
        <w:numPr>
          <w:ilvl w:val="0"/>
          <w:numId w:val="2"/>
        </w:numPr>
        <w:spacing w:before="120" w:after="240" w:line="240" w:lineRule="auto"/>
        <w:ind w:left="0"/>
        <w:rPr>
          <w:rFonts w:cs="Times New Roman"/>
          <w:szCs w:val="24"/>
        </w:rPr>
      </w:pPr>
      <w:r w:rsidRPr="00A453B2">
        <w:rPr>
          <w:rFonts w:cs="Times New Roman"/>
          <w:szCs w:val="24"/>
        </w:rPr>
        <w:t>Marže EBITDA</w:t>
      </w:r>
    </w:p>
    <w:p w:rsidR="001F0BD8" w:rsidRPr="0058267B" w:rsidRDefault="001F0BD8" w:rsidP="004C37F5">
      <w:pPr>
        <w:spacing w:before="120" w:after="240" w:line="240" w:lineRule="auto"/>
        <w:rPr>
          <w:rFonts w:cs="Times New Roman"/>
          <w:i/>
          <w:szCs w:val="24"/>
        </w:rPr>
      </w:pPr>
      <w:r w:rsidRPr="0058267B">
        <w:rPr>
          <w:rFonts w:cs="Times New Roman"/>
          <w:i/>
          <w:szCs w:val="24"/>
        </w:rPr>
        <w:t>Ukazatele nákladovosti</w:t>
      </w:r>
    </w:p>
    <w:p w:rsidR="001F0BD8" w:rsidRPr="00A453B2" w:rsidRDefault="001F0BD8" w:rsidP="005A5A62">
      <w:pPr>
        <w:pStyle w:val="Odstavecseseznamem"/>
        <w:numPr>
          <w:ilvl w:val="0"/>
          <w:numId w:val="2"/>
        </w:numPr>
        <w:spacing w:before="120" w:after="240" w:line="240" w:lineRule="auto"/>
        <w:ind w:left="0"/>
        <w:rPr>
          <w:rFonts w:cs="Times New Roman"/>
          <w:szCs w:val="24"/>
        </w:rPr>
      </w:pPr>
      <w:r w:rsidRPr="00A453B2">
        <w:rPr>
          <w:rFonts w:cs="Times New Roman"/>
          <w:szCs w:val="24"/>
        </w:rPr>
        <w:t>Podíl výkonové spotřeby na výkonech</w:t>
      </w:r>
    </w:p>
    <w:p w:rsidR="001F0BD8" w:rsidRPr="00A453B2" w:rsidRDefault="001F0BD8" w:rsidP="005A5A62">
      <w:pPr>
        <w:pStyle w:val="Odstavecseseznamem"/>
        <w:numPr>
          <w:ilvl w:val="0"/>
          <w:numId w:val="2"/>
        </w:numPr>
        <w:spacing w:before="120" w:after="240" w:line="240" w:lineRule="auto"/>
        <w:ind w:left="0"/>
        <w:rPr>
          <w:rFonts w:cs="Times New Roman"/>
          <w:szCs w:val="24"/>
        </w:rPr>
      </w:pPr>
      <w:r w:rsidRPr="00A453B2">
        <w:rPr>
          <w:rFonts w:cs="Times New Roman"/>
          <w:szCs w:val="24"/>
        </w:rPr>
        <w:t>Podíl osobních nákladů na výkonech</w:t>
      </w:r>
    </w:p>
    <w:p w:rsidR="001F0BD8" w:rsidRPr="00A453B2" w:rsidRDefault="001F0BD8" w:rsidP="004C37F5">
      <w:pPr>
        <w:spacing w:before="120" w:after="240" w:line="240" w:lineRule="auto"/>
        <w:rPr>
          <w:rFonts w:cs="Times New Roman"/>
          <w:i/>
          <w:szCs w:val="24"/>
        </w:rPr>
      </w:pPr>
      <w:r w:rsidRPr="00A453B2">
        <w:rPr>
          <w:rFonts w:cs="Times New Roman"/>
          <w:i/>
          <w:szCs w:val="24"/>
        </w:rPr>
        <w:t>Ukazatele likvidity a pracovního kapitálu</w:t>
      </w:r>
    </w:p>
    <w:p w:rsidR="001F0BD8" w:rsidRPr="00A453B2" w:rsidRDefault="001F0BD8" w:rsidP="005A5A62">
      <w:pPr>
        <w:pStyle w:val="Odstavecseseznamem"/>
        <w:numPr>
          <w:ilvl w:val="0"/>
          <w:numId w:val="2"/>
        </w:numPr>
        <w:spacing w:before="120" w:after="240" w:line="240" w:lineRule="auto"/>
        <w:ind w:left="0"/>
        <w:rPr>
          <w:rFonts w:cs="Times New Roman"/>
          <w:szCs w:val="24"/>
        </w:rPr>
      </w:pPr>
      <w:r w:rsidRPr="00A453B2">
        <w:rPr>
          <w:rFonts w:cs="Times New Roman"/>
          <w:szCs w:val="24"/>
        </w:rPr>
        <w:t>Podíl hotovosti na nutné hotovosti při 15% požadavku na úroveň ukazatele okamžité likvidity</w:t>
      </w:r>
    </w:p>
    <w:p w:rsidR="001F0BD8" w:rsidRPr="00A453B2" w:rsidRDefault="001F0BD8" w:rsidP="005A5A62">
      <w:pPr>
        <w:pStyle w:val="Odstavecseseznamem"/>
        <w:numPr>
          <w:ilvl w:val="0"/>
          <w:numId w:val="2"/>
        </w:numPr>
        <w:spacing w:before="120" w:after="240" w:line="240" w:lineRule="auto"/>
        <w:ind w:left="0"/>
        <w:rPr>
          <w:rFonts w:cs="Times New Roman"/>
          <w:szCs w:val="24"/>
        </w:rPr>
      </w:pPr>
      <w:r w:rsidRPr="00A453B2">
        <w:rPr>
          <w:rFonts w:cs="Times New Roman"/>
          <w:szCs w:val="24"/>
        </w:rPr>
        <w:t>Podíl hotovosti na nutné hotovosti při 20% požadavku na úroveň ukazatele okamžité likvidity</w:t>
      </w:r>
    </w:p>
    <w:p w:rsidR="001F0BD8" w:rsidRPr="00A453B2" w:rsidRDefault="001F0BD8" w:rsidP="005A5A62">
      <w:pPr>
        <w:pStyle w:val="Odstavecseseznamem"/>
        <w:numPr>
          <w:ilvl w:val="0"/>
          <w:numId w:val="2"/>
        </w:numPr>
        <w:spacing w:before="120" w:after="240" w:line="240" w:lineRule="auto"/>
        <w:ind w:left="0"/>
        <w:rPr>
          <w:rFonts w:cs="Times New Roman"/>
          <w:szCs w:val="24"/>
        </w:rPr>
      </w:pPr>
      <w:r w:rsidRPr="00A453B2">
        <w:rPr>
          <w:rFonts w:cs="Times New Roman"/>
          <w:szCs w:val="24"/>
        </w:rPr>
        <w:t>Podíl aktivních a pasivních primárních nepeněžních složek pracovního kapitálu</w:t>
      </w:r>
    </w:p>
    <w:p w:rsidR="001F0BD8" w:rsidRPr="0058267B" w:rsidRDefault="001F0BD8" w:rsidP="005A5A62">
      <w:pPr>
        <w:pStyle w:val="Odstavecseseznamem"/>
        <w:numPr>
          <w:ilvl w:val="0"/>
          <w:numId w:val="2"/>
        </w:numPr>
        <w:spacing w:before="120" w:after="240" w:line="240" w:lineRule="auto"/>
        <w:ind w:left="0"/>
        <w:rPr>
          <w:rFonts w:cs="Times New Roman"/>
          <w:szCs w:val="24"/>
        </w:rPr>
      </w:pPr>
      <w:r w:rsidRPr="0058267B">
        <w:rPr>
          <w:rFonts w:cs="Times New Roman"/>
          <w:szCs w:val="24"/>
        </w:rPr>
        <w:t>Podíl aktivních a pasivních celkových nepeněžních složek pracovního kapitálu</w:t>
      </w:r>
    </w:p>
    <w:p w:rsidR="001F0BD8" w:rsidRPr="0058267B" w:rsidRDefault="001F0BD8" w:rsidP="004C37F5">
      <w:pPr>
        <w:spacing w:before="120" w:after="240" w:line="240" w:lineRule="auto"/>
        <w:rPr>
          <w:rFonts w:cs="Times New Roman"/>
          <w:i/>
          <w:szCs w:val="24"/>
        </w:rPr>
      </w:pPr>
      <w:r w:rsidRPr="0058267B">
        <w:rPr>
          <w:rFonts w:cs="Times New Roman"/>
          <w:i/>
          <w:szCs w:val="24"/>
        </w:rPr>
        <w:t>Ukazatele zadlužení</w:t>
      </w:r>
    </w:p>
    <w:p w:rsidR="001F0BD8" w:rsidRPr="0058267B" w:rsidRDefault="001F0BD8" w:rsidP="005A5A62">
      <w:pPr>
        <w:pStyle w:val="Odstavecseseznamem"/>
        <w:numPr>
          <w:ilvl w:val="0"/>
          <w:numId w:val="2"/>
        </w:numPr>
        <w:spacing w:before="120" w:after="240" w:line="240" w:lineRule="auto"/>
        <w:ind w:left="0"/>
        <w:rPr>
          <w:rFonts w:cs="Times New Roman"/>
          <w:szCs w:val="24"/>
        </w:rPr>
      </w:pPr>
      <w:r w:rsidRPr="0058267B">
        <w:rPr>
          <w:rFonts w:cs="Times New Roman"/>
          <w:szCs w:val="24"/>
        </w:rPr>
        <w:t>Ukazatel celkové zadluženosti (podíl cizích zdrojů na aktivech)</w:t>
      </w:r>
    </w:p>
    <w:p w:rsidR="001F0BD8" w:rsidRPr="0058267B" w:rsidRDefault="001F0BD8" w:rsidP="005A5A62">
      <w:pPr>
        <w:pStyle w:val="Odstavecseseznamem"/>
        <w:numPr>
          <w:ilvl w:val="0"/>
          <w:numId w:val="2"/>
        </w:numPr>
        <w:spacing w:before="120" w:after="240" w:line="240" w:lineRule="auto"/>
        <w:ind w:left="0"/>
        <w:rPr>
          <w:rFonts w:cs="Times New Roman"/>
          <w:szCs w:val="24"/>
        </w:rPr>
      </w:pPr>
      <w:r w:rsidRPr="0058267B">
        <w:rPr>
          <w:rFonts w:cs="Times New Roman"/>
          <w:szCs w:val="24"/>
        </w:rPr>
        <w:t>Ukazatel stupně krytí dlouhodobého majetku dlouhodobým kapitálem</w:t>
      </w:r>
    </w:p>
    <w:p w:rsidR="001F0BD8" w:rsidRPr="0058267B" w:rsidRDefault="001F0BD8" w:rsidP="004C37F5">
      <w:pPr>
        <w:spacing w:before="120" w:after="240" w:line="240" w:lineRule="auto"/>
        <w:rPr>
          <w:rFonts w:cs="Times New Roman"/>
          <w:i/>
          <w:szCs w:val="24"/>
        </w:rPr>
      </w:pPr>
      <w:r w:rsidRPr="0058267B">
        <w:rPr>
          <w:rFonts w:cs="Times New Roman"/>
          <w:i/>
          <w:szCs w:val="24"/>
        </w:rPr>
        <w:t>Ukazatel investiční náročnosti (podíl dlouhodobého majetku na aktivech)</w:t>
      </w:r>
    </w:p>
    <w:p w:rsidR="001F0BD8" w:rsidRPr="0058267B" w:rsidRDefault="001F0BD8" w:rsidP="004C37F5">
      <w:pPr>
        <w:spacing w:before="120" w:after="240" w:line="240" w:lineRule="auto"/>
        <w:rPr>
          <w:rFonts w:cs="Times New Roman"/>
          <w:szCs w:val="24"/>
        </w:rPr>
      </w:pPr>
      <w:r w:rsidRPr="0058267B">
        <w:rPr>
          <w:rFonts w:cs="Times New Roman"/>
          <w:i/>
          <w:szCs w:val="24"/>
        </w:rPr>
        <w:t>Ukazatele rentability aktiv</w:t>
      </w:r>
    </w:p>
    <w:p w:rsidR="001F0BD8" w:rsidRPr="0058267B" w:rsidRDefault="001F0BD8" w:rsidP="005A5A62">
      <w:pPr>
        <w:pStyle w:val="Odstavecseseznamem"/>
        <w:numPr>
          <w:ilvl w:val="0"/>
          <w:numId w:val="2"/>
        </w:numPr>
        <w:spacing w:before="120" w:after="240" w:line="240" w:lineRule="auto"/>
        <w:ind w:left="0"/>
        <w:rPr>
          <w:rFonts w:cs="Times New Roman"/>
          <w:szCs w:val="24"/>
        </w:rPr>
      </w:pPr>
      <w:r w:rsidRPr="0058267B">
        <w:rPr>
          <w:rFonts w:cs="Times New Roman"/>
          <w:szCs w:val="24"/>
        </w:rPr>
        <w:t>Rentabilita aktiv měřená úrovní primární EBITDA</w:t>
      </w:r>
    </w:p>
    <w:p w:rsidR="007E25AA" w:rsidRPr="0058267B" w:rsidRDefault="007E25AA" w:rsidP="005A5A62">
      <w:pPr>
        <w:pStyle w:val="Odstavecseseznamem"/>
        <w:numPr>
          <w:ilvl w:val="0"/>
          <w:numId w:val="2"/>
        </w:numPr>
        <w:spacing w:before="120" w:after="240" w:line="240" w:lineRule="auto"/>
        <w:ind w:left="0"/>
        <w:rPr>
          <w:rFonts w:cs="Times New Roman"/>
          <w:szCs w:val="24"/>
        </w:rPr>
      </w:pPr>
      <w:r w:rsidRPr="0058267B">
        <w:rPr>
          <w:rFonts w:cs="Times New Roman"/>
          <w:szCs w:val="24"/>
        </w:rPr>
        <w:t>Rentabilita aktiv měřená úrovní primární EBITDA</w:t>
      </w:r>
    </w:p>
    <w:p w:rsidR="001F0BD8" w:rsidRPr="0058267B" w:rsidRDefault="001F0BD8" w:rsidP="005A5A62">
      <w:pPr>
        <w:pStyle w:val="Odstavecseseznamem"/>
        <w:numPr>
          <w:ilvl w:val="0"/>
          <w:numId w:val="2"/>
        </w:numPr>
        <w:spacing w:before="120" w:after="240" w:line="240" w:lineRule="auto"/>
        <w:ind w:left="0"/>
        <w:rPr>
          <w:rFonts w:cs="Times New Roman"/>
          <w:szCs w:val="24"/>
        </w:rPr>
      </w:pPr>
      <w:r w:rsidRPr="0058267B">
        <w:rPr>
          <w:rFonts w:cs="Times New Roman"/>
          <w:szCs w:val="24"/>
        </w:rPr>
        <w:t>Rentabi</w:t>
      </w:r>
      <w:r w:rsidR="007E25AA" w:rsidRPr="0058267B">
        <w:rPr>
          <w:rFonts w:cs="Times New Roman"/>
          <w:szCs w:val="24"/>
        </w:rPr>
        <w:t>lita aktiv měřená úrovní EBIT</w:t>
      </w:r>
    </w:p>
    <w:p w:rsidR="001541AA" w:rsidRPr="0058267B" w:rsidRDefault="001541AA" w:rsidP="004C37F5">
      <w:pPr>
        <w:spacing w:before="120" w:after="240" w:line="240" w:lineRule="auto"/>
        <w:rPr>
          <w:rFonts w:cs="Times New Roman"/>
          <w:i/>
          <w:szCs w:val="24"/>
        </w:rPr>
      </w:pPr>
      <w:r w:rsidRPr="0058267B">
        <w:rPr>
          <w:rFonts w:cs="Times New Roman"/>
          <w:i/>
          <w:szCs w:val="24"/>
        </w:rPr>
        <w:t>Ukazatele doby obratu nepeněžních složek pracovního kapitálu</w:t>
      </w:r>
    </w:p>
    <w:p w:rsidR="001541AA" w:rsidRPr="0058267B" w:rsidRDefault="001541AA" w:rsidP="005A5A62">
      <w:pPr>
        <w:pStyle w:val="Odstavecseseznamem"/>
        <w:numPr>
          <w:ilvl w:val="0"/>
          <w:numId w:val="2"/>
        </w:numPr>
        <w:spacing w:before="120" w:after="240" w:line="240" w:lineRule="auto"/>
        <w:ind w:left="0"/>
        <w:rPr>
          <w:rFonts w:cs="Times New Roman"/>
          <w:szCs w:val="24"/>
        </w:rPr>
      </w:pPr>
      <w:r w:rsidRPr="0058267B">
        <w:rPr>
          <w:rFonts w:cs="Times New Roman"/>
          <w:szCs w:val="24"/>
        </w:rPr>
        <w:t>Doba obratu zásob</w:t>
      </w:r>
    </w:p>
    <w:p w:rsidR="001541AA" w:rsidRPr="0058267B" w:rsidRDefault="001541AA" w:rsidP="005A5A62">
      <w:pPr>
        <w:pStyle w:val="Odstavecseseznamem"/>
        <w:numPr>
          <w:ilvl w:val="0"/>
          <w:numId w:val="2"/>
        </w:numPr>
        <w:spacing w:before="120" w:after="240" w:line="240" w:lineRule="auto"/>
        <w:ind w:left="0"/>
        <w:rPr>
          <w:rFonts w:cs="Times New Roman"/>
          <w:szCs w:val="24"/>
        </w:rPr>
      </w:pPr>
      <w:r w:rsidRPr="0058267B">
        <w:rPr>
          <w:rFonts w:cs="Times New Roman"/>
          <w:szCs w:val="24"/>
        </w:rPr>
        <w:t>Doba obratu pohledávek</w:t>
      </w:r>
    </w:p>
    <w:p w:rsidR="001541AA" w:rsidRPr="0058267B" w:rsidRDefault="001541AA" w:rsidP="005A5A62">
      <w:pPr>
        <w:pStyle w:val="Odstavecseseznamem"/>
        <w:numPr>
          <w:ilvl w:val="0"/>
          <w:numId w:val="2"/>
        </w:numPr>
        <w:spacing w:before="120" w:after="240" w:line="240" w:lineRule="auto"/>
        <w:ind w:left="0"/>
        <w:rPr>
          <w:rFonts w:cs="Times New Roman"/>
          <w:szCs w:val="24"/>
        </w:rPr>
      </w:pPr>
      <w:r w:rsidRPr="0058267B">
        <w:rPr>
          <w:rFonts w:cs="Times New Roman"/>
          <w:szCs w:val="24"/>
        </w:rPr>
        <w:t>Doba obratu závazků</w:t>
      </w:r>
    </w:p>
    <w:p w:rsidR="0058267B" w:rsidRPr="0058267B" w:rsidRDefault="0058267B" w:rsidP="0059405B">
      <w:pPr>
        <w:pStyle w:val="Nadpis3"/>
        <w:numPr>
          <w:ilvl w:val="2"/>
          <w:numId w:val="15"/>
        </w:numPr>
      </w:pPr>
      <w:bookmarkStart w:id="103" w:name="_Toc31054464"/>
      <w:r w:rsidRPr="0058267B">
        <w:t xml:space="preserve">Syntetické </w:t>
      </w:r>
      <w:r w:rsidRPr="0059405B">
        <w:t>ukazatele</w:t>
      </w:r>
      <w:bookmarkEnd w:id="103"/>
    </w:p>
    <w:p w:rsidR="001541AA" w:rsidRPr="0058267B" w:rsidRDefault="001541AA" w:rsidP="00CF225B">
      <w:pPr>
        <w:spacing w:before="120" w:after="240" w:line="240" w:lineRule="auto"/>
        <w:rPr>
          <w:rFonts w:cs="Times New Roman"/>
          <w:szCs w:val="24"/>
        </w:rPr>
      </w:pPr>
      <w:r w:rsidRPr="0058267B">
        <w:rPr>
          <w:rFonts w:cs="Times New Roman"/>
          <w:b/>
          <w:szCs w:val="24"/>
        </w:rPr>
        <w:t>Syntetické ukazatele</w:t>
      </w:r>
      <w:r w:rsidRPr="0058267B">
        <w:rPr>
          <w:rFonts w:cs="Times New Roman"/>
          <w:szCs w:val="24"/>
        </w:rPr>
        <w:t>, u kterých byl rovněž analyzován jejich průměr, 5% redukovaný průměr a medián, a za období jednoho, dvou a tří let před zjištěním úpadku. Byly zvoleny následující syntetické ukazatele.</w:t>
      </w:r>
    </w:p>
    <w:p w:rsidR="001541AA" w:rsidRPr="0058267B" w:rsidRDefault="001541AA" w:rsidP="005A5A62">
      <w:pPr>
        <w:pStyle w:val="Odstavecseseznamem"/>
        <w:numPr>
          <w:ilvl w:val="0"/>
          <w:numId w:val="3"/>
        </w:numPr>
        <w:spacing w:before="120" w:after="240" w:line="240" w:lineRule="auto"/>
        <w:ind w:left="0"/>
        <w:rPr>
          <w:rFonts w:cs="Times New Roman"/>
          <w:szCs w:val="24"/>
        </w:rPr>
      </w:pPr>
      <w:r w:rsidRPr="0058267B">
        <w:rPr>
          <w:rFonts w:cs="Times New Roman"/>
          <w:szCs w:val="24"/>
        </w:rPr>
        <w:t>Kralickův Rychlý test</w:t>
      </w:r>
    </w:p>
    <w:p w:rsidR="001541AA" w:rsidRPr="0058267B" w:rsidRDefault="001541AA" w:rsidP="005A5A62">
      <w:pPr>
        <w:pStyle w:val="Odstavecseseznamem"/>
        <w:numPr>
          <w:ilvl w:val="0"/>
          <w:numId w:val="3"/>
        </w:numPr>
        <w:spacing w:before="120" w:after="240" w:line="240" w:lineRule="auto"/>
        <w:ind w:left="0"/>
        <w:rPr>
          <w:rFonts w:cs="Times New Roman"/>
          <w:szCs w:val="24"/>
        </w:rPr>
      </w:pPr>
      <w:r w:rsidRPr="0058267B">
        <w:rPr>
          <w:rFonts w:cs="Times New Roman"/>
          <w:szCs w:val="24"/>
        </w:rPr>
        <w:t>Altmanovo Z-skóre</w:t>
      </w:r>
    </w:p>
    <w:p w:rsidR="001541AA" w:rsidRPr="0058267B" w:rsidRDefault="001541AA" w:rsidP="005A5A62">
      <w:pPr>
        <w:pStyle w:val="Odstavecseseznamem"/>
        <w:numPr>
          <w:ilvl w:val="0"/>
          <w:numId w:val="3"/>
        </w:numPr>
        <w:spacing w:before="120" w:after="240" w:line="240" w:lineRule="auto"/>
        <w:ind w:left="0"/>
        <w:rPr>
          <w:rFonts w:cs="Times New Roman"/>
          <w:szCs w:val="24"/>
        </w:rPr>
      </w:pPr>
      <w:r w:rsidRPr="0058267B">
        <w:rPr>
          <w:rFonts w:cs="Times New Roman"/>
          <w:szCs w:val="24"/>
        </w:rPr>
        <w:t>Index IN05 (integrální bankrotní model českých podniků)</w:t>
      </w:r>
    </w:p>
    <w:p w:rsidR="001541AA" w:rsidRPr="0058267B" w:rsidRDefault="001541AA" w:rsidP="005A5A62">
      <w:pPr>
        <w:pStyle w:val="Odstavecseseznamem"/>
        <w:numPr>
          <w:ilvl w:val="0"/>
          <w:numId w:val="3"/>
        </w:numPr>
        <w:spacing w:before="120" w:after="240" w:line="240" w:lineRule="auto"/>
        <w:ind w:left="0"/>
        <w:rPr>
          <w:rFonts w:cs="Times New Roman"/>
          <w:szCs w:val="24"/>
        </w:rPr>
      </w:pPr>
      <w:r w:rsidRPr="0058267B">
        <w:rPr>
          <w:rFonts w:cs="Times New Roman"/>
          <w:szCs w:val="24"/>
        </w:rPr>
        <w:t>Index IN99 (model českých podniků analyzující zejména tvorbu hodnoty.</w:t>
      </w:r>
    </w:p>
    <w:p w:rsidR="0058267B" w:rsidRPr="0058267B" w:rsidRDefault="0058267B" w:rsidP="0059405B">
      <w:pPr>
        <w:pStyle w:val="Nadpis3"/>
        <w:numPr>
          <w:ilvl w:val="2"/>
          <w:numId w:val="15"/>
        </w:numPr>
      </w:pPr>
      <w:bookmarkStart w:id="104" w:name="_Toc31054465"/>
      <w:r w:rsidRPr="0058267B">
        <w:lastRenderedPageBreak/>
        <w:t xml:space="preserve">Polarity vybraných </w:t>
      </w:r>
      <w:r w:rsidRPr="0059405B">
        <w:t>ukazatelů</w:t>
      </w:r>
      <w:bookmarkEnd w:id="104"/>
    </w:p>
    <w:p w:rsidR="00904EEA" w:rsidRPr="0058267B" w:rsidRDefault="00904EEA" w:rsidP="00CF225B">
      <w:pPr>
        <w:spacing w:before="120" w:after="240" w:line="240" w:lineRule="auto"/>
        <w:rPr>
          <w:rFonts w:cs="Times New Roman"/>
          <w:szCs w:val="24"/>
        </w:rPr>
      </w:pPr>
      <w:r w:rsidRPr="0058267B">
        <w:rPr>
          <w:rFonts w:cs="Times New Roman"/>
          <w:b/>
          <w:szCs w:val="24"/>
        </w:rPr>
        <w:t>Polarity vybraných ukazatelů</w:t>
      </w:r>
      <w:r w:rsidRPr="0058267B">
        <w:rPr>
          <w:rFonts w:cs="Times New Roman"/>
          <w:szCs w:val="24"/>
        </w:rPr>
        <w:t>, které charakterizují, zda podnik dosahuje kladné či záporné úrovně daného ukazatele, což zvyšuje jeho jednoznačnost. U polarit byly analyzovány relativní četnosti výskytu kladné a záporné hodnoty v období jednoho, dvou a tří let před zjištění úpadku. Byly zvoleny následující polarity vybraných ukazatelů.</w:t>
      </w:r>
    </w:p>
    <w:p w:rsidR="00904EEA" w:rsidRPr="0058267B" w:rsidRDefault="00904EEA" w:rsidP="00CF225B">
      <w:pPr>
        <w:spacing w:before="120" w:after="240" w:line="240" w:lineRule="auto"/>
        <w:rPr>
          <w:rFonts w:cs="Times New Roman"/>
          <w:i/>
          <w:szCs w:val="24"/>
        </w:rPr>
      </w:pPr>
      <w:r w:rsidRPr="0058267B">
        <w:rPr>
          <w:rFonts w:cs="Times New Roman"/>
          <w:i/>
          <w:szCs w:val="24"/>
        </w:rPr>
        <w:t>Polarita úrovní tvorby zisku</w:t>
      </w:r>
    </w:p>
    <w:p w:rsidR="00904EEA" w:rsidRPr="0058267B" w:rsidRDefault="00904EEA" w:rsidP="005A5A62">
      <w:pPr>
        <w:pStyle w:val="Odstavecseseznamem"/>
        <w:numPr>
          <w:ilvl w:val="0"/>
          <w:numId w:val="2"/>
        </w:numPr>
        <w:spacing w:before="120" w:after="240" w:line="240" w:lineRule="auto"/>
        <w:ind w:left="0"/>
        <w:rPr>
          <w:rFonts w:cs="Times New Roman"/>
          <w:szCs w:val="24"/>
        </w:rPr>
      </w:pPr>
      <w:r w:rsidRPr="0058267B">
        <w:rPr>
          <w:rFonts w:cs="Times New Roman"/>
          <w:szCs w:val="24"/>
        </w:rPr>
        <w:t>Polarita přidané hodnoty</w:t>
      </w:r>
    </w:p>
    <w:p w:rsidR="00904EEA" w:rsidRPr="0058267B" w:rsidRDefault="00904EEA" w:rsidP="005A5A62">
      <w:pPr>
        <w:pStyle w:val="Odstavecseseznamem"/>
        <w:numPr>
          <w:ilvl w:val="0"/>
          <w:numId w:val="2"/>
        </w:numPr>
        <w:spacing w:before="120" w:after="240" w:line="240" w:lineRule="auto"/>
        <w:ind w:left="0"/>
        <w:rPr>
          <w:rFonts w:cs="Times New Roman"/>
          <w:szCs w:val="24"/>
        </w:rPr>
      </w:pPr>
      <w:r w:rsidRPr="0058267B">
        <w:rPr>
          <w:rFonts w:cs="Times New Roman"/>
          <w:szCs w:val="24"/>
        </w:rPr>
        <w:t>Polarita primární EBITDA</w:t>
      </w:r>
    </w:p>
    <w:p w:rsidR="00904EEA" w:rsidRPr="0058267B" w:rsidRDefault="00904EEA" w:rsidP="005A5A62">
      <w:pPr>
        <w:pStyle w:val="Odstavecseseznamem"/>
        <w:numPr>
          <w:ilvl w:val="0"/>
          <w:numId w:val="2"/>
        </w:numPr>
        <w:spacing w:before="120" w:after="240" w:line="240" w:lineRule="auto"/>
        <w:ind w:left="0"/>
        <w:rPr>
          <w:rFonts w:cs="Times New Roman"/>
          <w:szCs w:val="24"/>
        </w:rPr>
      </w:pPr>
      <w:r w:rsidRPr="0058267B">
        <w:rPr>
          <w:rFonts w:cs="Times New Roman"/>
          <w:szCs w:val="24"/>
        </w:rPr>
        <w:t>Polarita provozní EBITDA</w:t>
      </w:r>
    </w:p>
    <w:p w:rsidR="00904EEA" w:rsidRPr="0058267B" w:rsidRDefault="00904EEA" w:rsidP="005A5A62">
      <w:pPr>
        <w:pStyle w:val="Odstavecseseznamem"/>
        <w:numPr>
          <w:ilvl w:val="0"/>
          <w:numId w:val="2"/>
        </w:numPr>
        <w:spacing w:before="120" w:after="240" w:line="240" w:lineRule="auto"/>
        <w:ind w:left="0"/>
        <w:rPr>
          <w:rFonts w:cs="Times New Roman"/>
          <w:szCs w:val="24"/>
        </w:rPr>
      </w:pPr>
      <w:r w:rsidRPr="0058267B">
        <w:rPr>
          <w:rFonts w:cs="Times New Roman"/>
          <w:szCs w:val="24"/>
        </w:rPr>
        <w:t>Polarita celkové EBITDA</w:t>
      </w:r>
    </w:p>
    <w:p w:rsidR="00904EEA" w:rsidRPr="0058267B" w:rsidRDefault="00904EEA" w:rsidP="005A5A62">
      <w:pPr>
        <w:pStyle w:val="Odstavecseseznamem"/>
        <w:numPr>
          <w:ilvl w:val="0"/>
          <w:numId w:val="2"/>
        </w:numPr>
        <w:spacing w:before="120" w:after="240" w:line="240" w:lineRule="auto"/>
        <w:ind w:left="0"/>
        <w:rPr>
          <w:rFonts w:cs="Times New Roman"/>
          <w:szCs w:val="24"/>
        </w:rPr>
      </w:pPr>
      <w:r w:rsidRPr="0058267B">
        <w:rPr>
          <w:rFonts w:cs="Times New Roman"/>
          <w:szCs w:val="24"/>
        </w:rPr>
        <w:t>Polarita EBIT</w:t>
      </w:r>
    </w:p>
    <w:p w:rsidR="00904EEA" w:rsidRPr="0058267B" w:rsidRDefault="00904EEA" w:rsidP="00CF225B">
      <w:pPr>
        <w:spacing w:before="120" w:after="240" w:line="240" w:lineRule="auto"/>
        <w:rPr>
          <w:rFonts w:cs="Times New Roman"/>
          <w:i/>
          <w:szCs w:val="24"/>
        </w:rPr>
      </w:pPr>
      <w:r w:rsidRPr="0058267B">
        <w:rPr>
          <w:rFonts w:cs="Times New Roman"/>
          <w:i/>
          <w:szCs w:val="24"/>
        </w:rPr>
        <w:t>Polarita ukazatelů likvidity a pracovního kapitálu</w:t>
      </w:r>
    </w:p>
    <w:p w:rsidR="00904EEA" w:rsidRPr="0058267B" w:rsidRDefault="00904EEA" w:rsidP="005A5A62">
      <w:pPr>
        <w:pStyle w:val="Odstavecseseznamem"/>
        <w:numPr>
          <w:ilvl w:val="0"/>
          <w:numId w:val="2"/>
        </w:numPr>
        <w:spacing w:before="120" w:after="240" w:line="240" w:lineRule="auto"/>
        <w:ind w:left="0"/>
        <w:rPr>
          <w:rFonts w:cs="Times New Roman"/>
          <w:szCs w:val="24"/>
        </w:rPr>
      </w:pPr>
      <w:r w:rsidRPr="0058267B">
        <w:rPr>
          <w:rFonts w:cs="Times New Roman"/>
          <w:szCs w:val="24"/>
        </w:rPr>
        <w:t>Deficit nutné hotovosti při 15% požadavku na úroveň ukazatele okamžité likvidity</w:t>
      </w:r>
    </w:p>
    <w:p w:rsidR="00904EEA" w:rsidRPr="0058267B" w:rsidRDefault="00904EEA" w:rsidP="005A5A62">
      <w:pPr>
        <w:pStyle w:val="Odstavecseseznamem"/>
        <w:numPr>
          <w:ilvl w:val="0"/>
          <w:numId w:val="2"/>
        </w:numPr>
        <w:spacing w:before="120" w:after="240" w:line="240" w:lineRule="auto"/>
        <w:ind w:left="0"/>
        <w:rPr>
          <w:rFonts w:cs="Times New Roman"/>
          <w:szCs w:val="24"/>
        </w:rPr>
      </w:pPr>
      <w:r w:rsidRPr="0058267B">
        <w:rPr>
          <w:rFonts w:cs="Times New Roman"/>
          <w:szCs w:val="24"/>
        </w:rPr>
        <w:t>Deficit nutné hotovosti při 20% požadavku na úroveň ukazatele okamžité likvidity</w:t>
      </w:r>
    </w:p>
    <w:p w:rsidR="00904EEA" w:rsidRPr="0058267B" w:rsidRDefault="00904EEA" w:rsidP="005A5A62">
      <w:pPr>
        <w:pStyle w:val="Odstavecseseznamem"/>
        <w:numPr>
          <w:ilvl w:val="0"/>
          <w:numId w:val="2"/>
        </w:numPr>
        <w:spacing w:before="120" w:after="240" w:line="240" w:lineRule="auto"/>
        <w:ind w:left="0"/>
        <w:rPr>
          <w:rFonts w:cs="Times New Roman"/>
          <w:szCs w:val="24"/>
        </w:rPr>
      </w:pPr>
      <w:r w:rsidRPr="0058267B">
        <w:rPr>
          <w:rFonts w:cs="Times New Roman"/>
          <w:szCs w:val="24"/>
        </w:rPr>
        <w:t>Polarita salda (rozdílu) aktivních a pasivních primárních nepeněžních složek pracovního kapitálu</w:t>
      </w:r>
    </w:p>
    <w:p w:rsidR="005343D3" w:rsidRPr="0058267B" w:rsidRDefault="00904EEA" w:rsidP="005A5A62">
      <w:pPr>
        <w:pStyle w:val="Odstavecseseznamem"/>
        <w:numPr>
          <w:ilvl w:val="0"/>
          <w:numId w:val="2"/>
        </w:numPr>
        <w:spacing w:before="120" w:after="240" w:line="240" w:lineRule="auto"/>
        <w:ind w:left="0"/>
        <w:rPr>
          <w:rFonts w:cs="Times New Roman"/>
          <w:szCs w:val="24"/>
        </w:rPr>
      </w:pPr>
      <w:r w:rsidRPr="0058267B">
        <w:rPr>
          <w:rFonts w:cs="Times New Roman"/>
          <w:szCs w:val="24"/>
        </w:rPr>
        <w:t>Polarita salda (rozdílu) aktivních a pasivních celkových nepeněžních složek pracovního kapitálu</w:t>
      </w:r>
    </w:p>
    <w:p w:rsidR="00904EEA" w:rsidRPr="0058267B" w:rsidRDefault="00904EEA" w:rsidP="00CF225B">
      <w:pPr>
        <w:spacing w:before="120" w:after="240" w:line="240" w:lineRule="auto"/>
        <w:rPr>
          <w:rFonts w:cs="Times New Roman"/>
          <w:i/>
          <w:szCs w:val="24"/>
        </w:rPr>
      </w:pPr>
      <w:r w:rsidRPr="0058267B">
        <w:rPr>
          <w:rFonts w:cs="Times New Roman"/>
          <w:i/>
          <w:szCs w:val="24"/>
        </w:rPr>
        <w:t>Polarita vlastního kapitálu</w:t>
      </w:r>
    </w:p>
    <w:p w:rsidR="00904EEA" w:rsidRPr="0058267B" w:rsidRDefault="00904EEA" w:rsidP="00CF225B">
      <w:pPr>
        <w:spacing w:before="120" w:after="240" w:line="240" w:lineRule="auto"/>
        <w:rPr>
          <w:rFonts w:cs="Times New Roman"/>
          <w:szCs w:val="24"/>
        </w:rPr>
      </w:pPr>
      <w:r w:rsidRPr="0058267B">
        <w:rPr>
          <w:rFonts w:cs="Times New Roman"/>
          <w:szCs w:val="24"/>
        </w:rPr>
        <w:t>Polarita financování dlouhodobého majetku, tj. polarita rozdílu dlouhodobého kapitálu a dlouhodobého majetku</w:t>
      </w:r>
    </w:p>
    <w:p w:rsidR="000C1EA6" w:rsidRPr="000C1EA6" w:rsidRDefault="009E0022" w:rsidP="005A5A62">
      <w:pPr>
        <w:pStyle w:val="Nadpis3"/>
        <w:numPr>
          <w:ilvl w:val="2"/>
          <w:numId w:val="15"/>
        </w:numPr>
      </w:pPr>
      <w:bookmarkStart w:id="105" w:name="_Toc31054466"/>
      <w:r w:rsidRPr="00BF7426">
        <w:t>Výsledky</w:t>
      </w:r>
      <w:r w:rsidRPr="00CB5C00">
        <w:t xml:space="preserve"> analýzy</w:t>
      </w:r>
      <w:bookmarkEnd w:id="105"/>
    </w:p>
    <w:p w:rsidR="009B43E3" w:rsidRPr="0058267B" w:rsidRDefault="009B43E3" w:rsidP="00B370E5">
      <w:pPr>
        <w:pStyle w:val="Nadpis3"/>
        <w:numPr>
          <w:ilvl w:val="2"/>
          <w:numId w:val="15"/>
        </w:numPr>
      </w:pPr>
      <w:bookmarkStart w:id="106" w:name="_Toc31054467"/>
      <w:r w:rsidRPr="0058267B">
        <w:t>Průměry a medián poměrových ukazatelů</w:t>
      </w:r>
      <w:bookmarkEnd w:id="106"/>
    </w:p>
    <w:p w:rsidR="00B329D3" w:rsidRDefault="00B329D3" w:rsidP="00CF225B">
      <w:pPr>
        <w:spacing w:before="120" w:after="240" w:line="240" w:lineRule="auto"/>
        <w:rPr>
          <w:rFonts w:cs="Times New Roman"/>
          <w:szCs w:val="24"/>
        </w:rPr>
      </w:pPr>
      <w:r w:rsidRPr="0058267B">
        <w:rPr>
          <w:rFonts w:cs="Times New Roman"/>
          <w:szCs w:val="24"/>
        </w:rPr>
        <w:t>V rámci analýzy průměrů a mediánu bylo zjištěno, že u všech ukazatel je významný rozdíl mezi průměrem na straně jedné a 5% redukovaným průměrem a mediánem na straně druhé. To nasvědčuje přítomnosti odlehlých a extrémních hodnot těchto ukazatelů.</w:t>
      </w:r>
    </w:p>
    <w:p w:rsidR="00FF0D08" w:rsidRDefault="00FF0D08" w:rsidP="00CF225B">
      <w:pPr>
        <w:spacing w:before="120" w:after="240" w:line="240" w:lineRule="auto"/>
        <w:rPr>
          <w:rFonts w:cs="Times New Roman"/>
          <w:szCs w:val="24"/>
        </w:rPr>
      </w:pPr>
    </w:p>
    <w:p w:rsidR="00FF0D08" w:rsidRDefault="00FF0D08" w:rsidP="00CF225B">
      <w:pPr>
        <w:spacing w:before="120" w:after="240" w:line="240" w:lineRule="auto"/>
        <w:rPr>
          <w:rFonts w:cs="Times New Roman"/>
          <w:szCs w:val="24"/>
        </w:rPr>
      </w:pPr>
    </w:p>
    <w:p w:rsidR="00FF0D08" w:rsidRDefault="00FF0D08" w:rsidP="00CF225B">
      <w:pPr>
        <w:spacing w:before="120" w:after="240" w:line="240" w:lineRule="auto"/>
        <w:rPr>
          <w:rFonts w:cs="Times New Roman"/>
          <w:szCs w:val="24"/>
        </w:rPr>
      </w:pPr>
    </w:p>
    <w:p w:rsidR="00FF0D08" w:rsidRDefault="00FF0D08" w:rsidP="00CF225B">
      <w:pPr>
        <w:spacing w:before="120" w:after="240" w:line="240" w:lineRule="auto"/>
        <w:rPr>
          <w:rFonts w:cs="Times New Roman"/>
          <w:szCs w:val="24"/>
        </w:rPr>
      </w:pPr>
    </w:p>
    <w:p w:rsidR="00FF0D08" w:rsidRDefault="00FF0D08" w:rsidP="00CF225B">
      <w:pPr>
        <w:spacing w:before="120" w:after="240" w:line="240" w:lineRule="auto"/>
        <w:rPr>
          <w:rFonts w:cs="Times New Roman"/>
          <w:szCs w:val="24"/>
        </w:rPr>
      </w:pPr>
    </w:p>
    <w:p w:rsidR="00FF0D08" w:rsidRDefault="00FF0D08" w:rsidP="00CF225B">
      <w:pPr>
        <w:spacing w:before="120" w:after="240" w:line="240" w:lineRule="auto"/>
        <w:rPr>
          <w:rFonts w:cs="Times New Roman"/>
          <w:szCs w:val="24"/>
        </w:rPr>
      </w:pPr>
    </w:p>
    <w:p w:rsidR="00FF0D08" w:rsidRDefault="00FF0D08" w:rsidP="00CF225B">
      <w:pPr>
        <w:spacing w:before="120" w:after="240" w:line="240" w:lineRule="auto"/>
        <w:rPr>
          <w:rFonts w:cs="Times New Roman"/>
          <w:szCs w:val="24"/>
        </w:rPr>
      </w:pPr>
    </w:p>
    <w:p w:rsidR="00FF0D08" w:rsidRDefault="00FF0D08" w:rsidP="00CF225B">
      <w:pPr>
        <w:spacing w:before="120" w:after="240" w:line="240" w:lineRule="auto"/>
        <w:rPr>
          <w:rFonts w:cs="Times New Roman"/>
          <w:szCs w:val="24"/>
        </w:rPr>
      </w:pPr>
    </w:p>
    <w:p w:rsidR="00FF0D08" w:rsidRDefault="00FF0D08" w:rsidP="00CF225B">
      <w:pPr>
        <w:spacing w:before="120" w:after="240" w:line="240" w:lineRule="auto"/>
        <w:rPr>
          <w:rFonts w:cs="Times New Roman"/>
          <w:szCs w:val="24"/>
        </w:rPr>
      </w:pPr>
    </w:p>
    <w:p w:rsidR="00136B14" w:rsidRDefault="00136B14" w:rsidP="005A5A62">
      <w:pPr>
        <w:pStyle w:val="Nadpis4"/>
        <w:numPr>
          <w:ilvl w:val="3"/>
          <w:numId w:val="15"/>
        </w:numPr>
      </w:pPr>
      <w:r w:rsidRPr="0058267B">
        <w:t>Marže</w:t>
      </w:r>
    </w:p>
    <w:p w:rsidR="00FF0D08" w:rsidRPr="00FF0D08" w:rsidRDefault="00FF0D08" w:rsidP="00FF0D08"/>
    <w:p w:rsidR="00BF7426" w:rsidRPr="00B67E2E" w:rsidRDefault="00B67E2E" w:rsidP="00B67E2E">
      <w:pPr>
        <w:pStyle w:val="Titulek"/>
        <w:rPr>
          <w:sz w:val="24"/>
          <w:szCs w:val="24"/>
          <w:lang w:eastAsia="cs-CZ"/>
        </w:rPr>
      </w:pPr>
      <w:bookmarkStart w:id="107" w:name="_Toc31054812"/>
      <w:r w:rsidRPr="00B67E2E">
        <w:rPr>
          <w:sz w:val="24"/>
          <w:szCs w:val="24"/>
        </w:rPr>
        <w:t xml:space="preserve">Tabulka </w:t>
      </w:r>
      <w:r w:rsidR="00163A91" w:rsidRPr="00B67E2E">
        <w:rPr>
          <w:sz w:val="24"/>
          <w:szCs w:val="24"/>
        </w:rPr>
        <w:fldChar w:fldCharType="begin"/>
      </w:r>
      <w:r w:rsidRPr="00B67E2E">
        <w:rPr>
          <w:sz w:val="24"/>
          <w:szCs w:val="24"/>
        </w:rPr>
        <w:instrText xml:space="preserve"> SEQ Tabulka \* ARABIC </w:instrText>
      </w:r>
      <w:r w:rsidR="00163A91" w:rsidRPr="00B67E2E">
        <w:rPr>
          <w:sz w:val="24"/>
          <w:szCs w:val="24"/>
        </w:rPr>
        <w:fldChar w:fldCharType="separate"/>
      </w:r>
      <w:r w:rsidR="007C1EE6">
        <w:rPr>
          <w:noProof/>
          <w:sz w:val="24"/>
          <w:szCs w:val="24"/>
        </w:rPr>
        <w:t>36</w:t>
      </w:r>
      <w:r w:rsidR="00163A91" w:rsidRPr="00B67E2E">
        <w:rPr>
          <w:sz w:val="24"/>
          <w:szCs w:val="24"/>
        </w:rPr>
        <w:fldChar w:fldCharType="end"/>
      </w:r>
      <w:r w:rsidRPr="00B67E2E">
        <w:rPr>
          <w:sz w:val="24"/>
          <w:szCs w:val="24"/>
        </w:rPr>
        <w:t xml:space="preserve"> Marže</w:t>
      </w:r>
      <w:bookmarkEnd w:id="107"/>
    </w:p>
    <w:tbl>
      <w:tblPr>
        <w:tblW w:w="9072" w:type="dxa"/>
        <w:tblCellMar>
          <w:left w:w="70" w:type="dxa"/>
          <w:right w:w="70" w:type="dxa"/>
        </w:tblCellMar>
        <w:tblLook w:val="04A0"/>
      </w:tblPr>
      <w:tblGrid>
        <w:gridCol w:w="3982"/>
        <w:gridCol w:w="1655"/>
        <w:gridCol w:w="1089"/>
        <w:gridCol w:w="1152"/>
        <w:gridCol w:w="1194"/>
      </w:tblGrid>
      <w:tr w:rsidR="003A7606" w:rsidRPr="003A7606" w:rsidTr="00CF225B">
        <w:trPr>
          <w:trHeight w:val="170"/>
        </w:trPr>
        <w:tc>
          <w:tcPr>
            <w:tcW w:w="3982" w:type="dxa"/>
            <w:tcBorders>
              <w:top w:val="single" w:sz="4" w:space="0" w:color="auto"/>
              <w:left w:val="single" w:sz="4" w:space="0" w:color="auto"/>
              <w:bottom w:val="single" w:sz="4" w:space="0" w:color="auto"/>
              <w:right w:val="nil"/>
            </w:tcBorders>
            <w:shd w:val="clear" w:color="auto" w:fill="auto"/>
            <w:noWrap/>
            <w:vAlign w:val="bottom"/>
            <w:hideMark/>
          </w:tcPr>
          <w:p w:rsidR="003A7606" w:rsidRPr="003A7606" w:rsidRDefault="003A7606" w:rsidP="000C1EA6">
            <w:pPr>
              <w:rPr>
                <w:rFonts w:eastAsia="Times New Roman" w:cs="Calibri"/>
                <w:color w:val="000000"/>
                <w:lang w:eastAsia="cs-CZ"/>
              </w:rPr>
            </w:pPr>
            <w:r w:rsidRPr="003A7606">
              <w:rPr>
                <w:rFonts w:eastAsia="Times New Roman" w:cs="Calibri"/>
                <w:color w:val="000000"/>
                <w:lang w:eastAsia="cs-CZ"/>
              </w:rPr>
              <w:t> </w:t>
            </w:r>
          </w:p>
        </w:tc>
        <w:tc>
          <w:tcPr>
            <w:tcW w:w="1655" w:type="dxa"/>
            <w:tcBorders>
              <w:top w:val="single" w:sz="4" w:space="0" w:color="auto"/>
              <w:left w:val="nil"/>
              <w:bottom w:val="single" w:sz="4" w:space="0" w:color="auto"/>
              <w:right w:val="nil"/>
            </w:tcBorders>
            <w:shd w:val="clear" w:color="auto" w:fill="auto"/>
            <w:noWrap/>
            <w:vAlign w:val="bottom"/>
            <w:hideMark/>
          </w:tcPr>
          <w:p w:rsidR="003A7606" w:rsidRPr="003A7606" w:rsidRDefault="003A7606" w:rsidP="000C1EA6">
            <w:pPr>
              <w:rPr>
                <w:rFonts w:eastAsia="Times New Roman" w:cs="Calibri"/>
                <w:color w:val="000000"/>
                <w:lang w:eastAsia="cs-CZ"/>
              </w:rPr>
            </w:pPr>
            <w:r w:rsidRPr="003A7606">
              <w:rPr>
                <w:rFonts w:eastAsia="Times New Roman" w:cs="Calibri"/>
                <w:color w:val="000000"/>
                <w:lang w:eastAsia="cs-CZ"/>
              </w:rPr>
              <w:t> </w:t>
            </w:r>
          </w:p>
        </w:tc>
        <w:tc>
          <w:tcPr>
            <w:tcW w:w="1089"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0C1EA6">
            <w:pPr>
              <w:rPr>
                <w:rFonts w:eastAsia="Times New Roman" w:cs="Calibri"/>
                <w:color w:val="264A60"/>
                <w:sz w:val="18"/>
                <w:szCs w:val="18"/>
                <w:lang w:eastAsia="cs-CZ"/>
              </w:rPr>
            </w:pPr>
            <w:r w:rsidRPr="003A7606">
              <w:rPr>
                <w:rFonts w:eastAsia="Times New Roman" w:cs="Calibri"/>
                <w:color w:val="264A60"/>
                <w:sz w:val="18"/>
                <w:szCs w:val="18"/>
                <w:lang w:eastAsia="cs-CZ"/>
              </w:rPr>
              <w:t>1 rok před úpadkem</w:t>
            </w:r>
          </w:p>
        </w:tc>
        <w:tc>
          <w:tcPr>
            <w:tcW w:w="1152"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0C1EA6">
            <w:pPr>
              <w:rPr>
                <w:rFonts w:eastAsia="Times New Roman" w:cs="Calibri"/>
                <w:color w:val="264A60"/>
                <w:sz w:val="18"/>
                <w:szCs w:val="18"/>
                <w:lang w:eastAsia="cs-CZ"/>
              </w:rPr>
            </w:pPr>
            <w:r w:rsidRPr="003A7606">
              <w:rPr>
                <w:rFonts w:eastAsia="Times New Roman" w:cs="Calibri"/>
                <w:color w:val="264A60"/>
                <w:sz w:val="18"/>
                <w:szCs w:val="18"/>
                <w:lang w:eastAsia="cs-CZ"/>
              </w:rPr>
              <w:t>2 roky před úpadkem</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3A7606" w:rsidRPr="003A7606" w:rsidRDefault="003A7606" w:rsidP="000C1EA6">
            <w:pPr>
              <w:rPr>
                <w:rFonts w:eastAsia="Times New Roman" w:cs="Calibri"/>
                <w:color w:val="264A60"/>
                <w:sz w:val="18"/>
                <w:szCs w:val="18"/>
                <w:lang w:eastAsia="cs-CZ"/>
              </w:rPr>
            </w:pPr>
            <w:r w:rsidRPr="003A7606">
              <w:rPr>
                <w:rFonts w:eastAsia="Times New Roman" w:cs="Calibri"/>
                <w:color w:val="264A60"/>
                <w:sz w:val="18"/>
                <w:szCs w:val="18"/>
                <w:lang w:eastAsia="cs-CZ"/>
              </w:rPr>
              <w:t>3 roky před úpadkem</w:t>
            </w:r>
          </w:p>
        </w:tc>
      </w:tr>
      <w:tr w:rsidR="003A7606" w:rsidRPr="003A7606" w:rsidTr="00CF225B">
        <w:trPr>
          <w:trHeight w:val="170"/>
        </w:trPr>
        <w:tc>
          <w:tcPr>
            <w:tcW w:w="3982" w:type="dxa"/>
            <w:tcBorders>
              <w:top w:val="nil"/>
              <w:left w:val="single" w:sz="4" w:space="0" w:color="auto"/>
              <w:bottom w:val="nil"/>
              <w:right w:val="nil"/>
            </w:tcBorders>
            <w:shd w:val="clear" w:color="auto" w:fill="auto"/>
            <w:noWrap/>
            <w:hideMark/>
          </w:tcPr>
          <w:p w:rsidR="003A7606" w:rsidRPr="003A7606" w:rsidRDefault="003A7606" w:rsidP="000C1EA6">
            <w:pPr>
              <w:rPr>
                <w:rFonts w:eastAsia="Times New Roman" w:cs="Calibri"/>
                <w:color w:val="010205"/>
                <w:sz w:val="18"/>
                <w:szCs w:val="18"/>
                <w:lang w:eastAsia="cs-CZ"/>
              </w:rPr>
            </w:pPr>
            <w:r w:rsidRPr="003A7606">
              <w:rPr>
                <w:rFonts w:eastAsia="Times New Roman" w:cs="Calibri"/>
                <w:color w:val="010205"/>
                <w:sz w:val="18"/>
                <w:szCs w:val="18"/>
                <w:lang w:eastAsia="cs-CZ"/>
              </w:rPr>
              <w:t>Marže přidané hodnoty z výkonů</w:t>
            </w:r>
          </w:p>
        </w:tc>
        <w:tc>
          <w:tcPr>
            <w:tcW w:w="1655" w:type="dxa"/>
            <w:tcBorders>
              <w:top w:val="nil"/>
              <w:left w:val="nil"/>
              <w:bottom w:val="nil"/>
              <w:right w:val="nil"/>
            </w:tcBorders>
            <w:shd w:val="clear" w:color="auto" w:fill="auto"/>
            <w:noWrap/>
            <w:hideMark/>
          </w:tcPr>
          <w:p w:rsidR="003A7606" w:rsidRPr="003A7606" w:rsidRDefault="003A7606" w:rsidP="000C1EA6">
            <w:pPr>
              <w:rPr>
                <w:rFonts w:eastAsia="Times New Roman" w:cs="Calibri"/>
                <w:color w:val="010205"/>
                <w:sz w:val="18"/>
                <w:szCs w:val="18"/>
                <w:lang w:eastAsia="cs-CZ"/>
              </w:rPr>
            </w:pPr>
            <w:r w:rsidRPr="003A7606">
              <w:rPr>
                <w:rFonts w:eastAsia="Times New Roman" w:cs="Calibri"/>
                <w:color w:val="010205"/>
                <w:sz w:val="18"/>
                <w:szCs w:val="18"/>
                <w:lang w:eastAsia="cs-CZ"/>
              </w:rPr>
              <w:t>Mean</w:t>
            </w:r>
          </w:p>
        </w:tc>
        <w:tc>
          <w:tcPr>
            <w:tcW w:w="1089" w:type="dxa"/>
            <w:tcBorders>
              <w:top w:val="nil"/>
              <w:left w:val="nil"/>
              <w:bottom w:val="nil"/>
              <w:right w:val="nil"/>
            </w:tcBorders>
            <w:shd w:val="clear" w:color="auto" w:fill="auto"/>
            <w:noWrap/>
            <w:hideMark/>
          </w:tcPr>
          <w:p w:rsidR="003A7606" w:rsidRPr="003A7606" w:rsidRDefault="003A7606" w:rsidP="000C1EA6">
            <w:pPr>
              <w:rPr>
                <w:rFonts w:eastAsia="Times New Roman" w:cs="Calibri"/>
                <w:color w:val="010205"/>
                <w:sz w:val="18"/>
                <w:szCs w:val="18"/>
                <w:lang w:eastAsia="cs-CZ"/>
              </w:rPr>
            </w:pPr>
            <w:r w:rsidRPr="003A7606">
              <w:rPr>
                <w:rFonts w:eastAsia="Times New Roman" w:cs="Calibri"/>
                <w:color w:val="010205"/>
                <w:sz w:val="18"/>
                <w:szCs w:val="18"/>
                <w:lang w:eastAsia="cs-CZ"/>
              </w:rPr>
              <w:t>-0,73</w:t>
            </w:r>
          </w:p>
        </w:tc>
        <w:tc>
          <w:tcPr>
            <w:tcW w:w="1152" w:type="dxa"/>
            <w:tcBorders>
              <w:top w:val="nil"/>
              <w:left w:val="nil"/>
              <w:bottom w:val="nil"/>
              <w:right w:val="nil"/>
            </w:tcBorders>
            <w:shd w:val="clear" w:color="auto" w:fill="auto"/>
            <w:noWrap/>
            <w:hideMark/>
          </w:tcPr>
          <w:p w:rsidR="003A7606" w:rsidRPr="003A7606" w:rsidRDefault="003A7606" w:rsidP="000C1EA6">
            <w:pPr>
              <w:rPr>
                <w:rFonts w:eastAsia="Times New Roman" w:cs="Calibri"/>
                <w:color w:val="010205"/>
                <w:sz w:val="18"/>
                <w:szCs w:val="18"/>
                <w:lang w:eastAsia="cs-CZ"/>
              </w:rPr>
            </w:pPr>
            <w:r w:rsidRPr="003A7606">
              <w:rPr>
                <w:rFonts w:eastAsia="Times New Roman" w:cs="Calibri"/>
                <w:color w:val="010205"/>
                <w:sz w:val="18"/>
                <w:szCs w:val="18"/>
                <w:lang w:eastAsia="cs-CZ"/>
              </w:rPr>
              <w:t>-29,33</w:t>
            </w:r>
          </w:p>
        </w:tc>
        <w:tc>
          <w:tcPr>
            <w:tcW w:w="1194" w:type="dxa"/>
            <w:tcBorders>
              <w:top w:val="nil"/>
              <w:left w:val="nil"/>
              <w:bottom w:val="nil"/>
              <w:right w:val="single" w:sz="4" w:space="0" w:color="auto"/>
            </w:tcBorders>
            <w:shd w:val="clear" w:color="auto" w:fill="auto"/>
            <w:noWrap/>
            <w:hideMark/>
          </w:tcPr>
          <w:p w:rsidR="003A7606" w:rsidRPr="003A7606" w:rsidRDefault="003A7606" w:rsidP="000C1EA6">
            <w:pPr>
              <w:rPr>
                <w:rFonts w:eastAsia="Times New Roman" w:cs="Calibri"/>
                <w:color w:val="010205"/>
                <w:sz w:val="18"/>
                <w:szCs w:val="18"/>
                <w:lang w:eastAsia="cs-CZ"/>
              </w:rPr>
            </w:pPr>
            <w:r w:rsidRPr="003A7606">
              <w:rPr>
                <w:rFonts w:eastAsia="Times New Roman" w:cs="Calibri"/>
                <w:color w:val="010205"/>
                <w:sz w:val="18"/>
                <w:szCs w:val="18"/>
                <w:lang w:eastAsia="cs-CZ"/>
              </w:rPr>
              <w:t>-1,19</w:t>
            </w:r>
          </w:p>
        </w:tc>
      </w:tr>
      <w:tr w:rsidR="003A7606" w:rsidRPr="003A7606" w:rsidTr="00CF225B">
        <w:trPr>
          <w:trHeight w:val="170"/>
        </w:trPr>
        <w:tc>
          <w:tcPr>
            <w:tcW w:w="3982" w:type="dxa"/>
            <w:tcBorders>
              <w:top w:val="nil"/>
              <w:left w:val="single" w:sz="4" w:space="0" w:color="auto"/>
              <w:bottom w:val="nil"/>
              <w:right w:val="nil"/>
            </w:tcBorders>
            <w:shd w:val="clear" w:color="auto" w:fill="auto"/>
            <w:noWrap/>
            <w:vAlign w:val="bottom"/>
            <w:hideMark/>
          </w:tcPr>
          <w:p w:rsidR="003A7606" w:rsidRPr="003A7606" w:rsidRDefault="003A7606" w:rsidP="000C1EA6">
            <w:pPr>
              <w:rPr>
                <w:rFonts w:eastAsia="Times New Roman" w:cs="Calibri"/>
                <w:color w:val="000000"/>
                <w:lang w:eastAsia="cs-CZ"/>
              </w:rPr>
            </w:pPr>
            <w:r w:rsidRPr="003A7606">
              <w:rPr>
                <w:rFonts w:eastAsia="Times New Roman" w:cs="Calibri"/>
                <w:color w:val="000000"/>
                <w:lang w:eastAsia="cs-CZ"/>
              </w:rPr>
              <w:t> </w:t>
            </w:r>
          </w:p>
        </w:tc>
        <w:tc>
          <w:tcPr>
            <w:tcW w:w="1655" w:type="dxa"/>
            <w:tcBorders>
              <w:top w:val="single" w:sz="4" w:space="0" w:color="AEAEAE"/>
              <w:left w:val="nil"/>
              <w:bottom w:val="nil"/>
              <w:right w:val="nil"/>
            </w:tcBorders>
            <w:shd w:val="clear" w:color="auto" w:fill="auto"/>
            <w:noWrap/>
            <w:hideMark/>
          </w:tcPr>
          <w:p w:rsidR="003A7606" w:rsidRPr="00F93571" w:rsidRDefault="003A7606" w:rsidP="000C1EA6">
            <w:pPr>
              <w:rPr>
                <w:rFonts w:eastAsia="Times New Roman" w:cs="Calibri"/>
                <w:b/>
                <w:color w:val="010205"/>
                <w:sz w:val="18"/>
                <w:szCs w:val="18"/>
                <w:lang w:eastAsia="cs-CZ"/>
              </w:rPr>
            </w:pPr>
            <w:r w:rsidRPr="00F93571">
              <w:rPr>
                <w:rFonts w:eastAsia="Times New Roman" w:cs="Calibri"/>
                <w:b/>
                <w:color w:val="010205"/>
                <w:sz w:val="18"/>
                <w:szCs w:val="18"/>
                <w:lang w:eastAsia="cs-CZ"/>
              </w:rPr>
              <w:t>5% Trimmed Mean</w:t>
            </w:r>
          </w:p>
        </w:tc>
        <w:tc>
          <w:tcPr>
            <w:tcW w:w="1089" w:type="dxa"/>
            <w:tcBorders>
              <w:top w:val="single" w:sz="4" w:space="0" w:color="AEAEAE"/>
              <w:left w:val="nil"/>
              <w:bottom w:val="nil"/>
              <w:right w:val="nil"/>
            </w:tcBorders>
            <w:shd w:val="clear" w:color="auto" w:fill="auto"/>
            <w:noWrap/>
            <w:hideMark/>
          </w:tcPr>
          <w:p w:rsidR="003A7606" w:rsidRPr="00F93571" w:rsidRDefault="003A7606" w:rsidP="000C1EA6">
            <w:pPr>
              <w:rPr>
                <w:rFonts w:eastAsia="Times New Roman" w:cs="Calibri"/>
                <w:b/>
                <w:color w:val="010205"/>
                <w:sz w:val="18"/>
                <w:szCs w:val="18"/>
                <w:lang w:eastAsia="cs-CZ"/>
              </w:rPr>
            </w:pPr>
            <w:r w:rsidRPr="00F93571">
              <w:rPr>
                <w:rFonts w:eastAsia="Times New Roman" w:cs="Calibri"/>
                <w:b/>
                <w:color w:val="010205"/>
                <w:sz w:val="18"/>
                <w:szCs w:val="18"/>
                <w:lang w:eastAsia="cs-CZ"/>
              </w:rPr>
              <w:t>0,09</w:t>
            </w:r>
          </w:p>
        </w:tc>
        <w:tc>
          <w:tcPr>
            <w:tcW w:w="1152" w:type="dxa"/>
            <w:tcBorders>
              <w:top w:val="single" w:sz="4" w:space="0" w:color="AEAEAE"/>
              <w:left w:val="nil"/>
              <w:bottom w:val="nil"/>
              <w:right w:val="nil"/>
            </w:tcBorders>
            <w:shd w:val="clear" w:color="auto" w:fill="auto"/>
            <w:noWrap/>
            <w:hideMark/>
          </w:tcPr>
          <w:p w:rsidR="003A7606" w:rsidRPr="00F93571" w:rsidRDefault="003A7606" w:rsidP="000C1EA6">
            <w:pPr>
              <w:rPr>
                <w:rFonts w:eastAsia="Times New Roman" w:cs="Calibri"/>
                <w:b/>
                <w:color w:val="010205"/>
                <w:sz w:val="18"/>
                <w:szCs w:val="18"/>
                <w:lang w:eastAsia="cs-CZ"/>
              </w:rPr>
            </w:pPr>
            <w:r w:rsidRPr="00F93571">
              <w:rPr>
                <w:rFonts w:eastAsia="Times New Roman" w:cs="Calibri"/>
                <w:b/>
                <w:color w:val="010205"/>
                <w:sz w:val="18"/>
                <w:szCs w:val="18"/>
                <w:lang w:eastAsia="cs-CZ"/>
              </w:rPr>
              <w:t>0,20</w:t>
            </w:r>
          </w:p>
        </w:tc>
        <w:tc>
          <w:tcPr>
            <w:tcW w:w="1194" w:type="dxa"/>
            <w:tcBorders>
              <w:top w:val="single" w:sz="4" w:space="0" w:color="AEAEAE"/>
              <w:left w:val="nil"/>
              <w:bottom w:val="nil"/>
              <w:right w:val="single" w:sz="4" w:space="0" w:color="auto"/>
            </w:tcBorders>
            <w:shd w:val="clear" w:color="auto" w:fill="auto"/>
            <w:noWrap/>
            <w:hideMark/>
          </w:tcPr>
          <w:p w:rsidR="003A7606" w:rsidRPr="00F93571" w:rsidRDefault="003A7606" w:rsidP="000C1EA6">
            <w:pPr>
              <w:rPr>
                <w:rFonts w:eastAsia="Times New Roman" w:cs="Calibri"/>
                <w:b/>
                <w:color w:val="010205"/>
                <w:sz w:val="18"/>
                <w:szCs w:val="18"/>
                <w:lang w:eastAsia="cs-CZ"/>
              </w:rPr>
            </w:pPr>
            <w:r w:rsidRPr="00F93571">
              <w:rPr>
                <w:rFonts w:eastAsia="Times New Roman" w:cs="Calibri"/>
                <w:b/>
                <w:color w:val="010205"/>
                <w:sz w:val="18"/>
                <w:szCs w:val="18"/>
                <w:lang w:eastAsia="cs-CZ"/>
              </w:rPr>
              <w:t>0,21</w:t>
            </w:r>
          </w:p>
        </w:tc>
      </w:tr>
      <w:tr w:rsidR="003A7606" w:rsidRPr="003A7606" w:rsidTr="00CF225B">
        <w:trPr>
          <w:trHeight w:val="170"/>
        </w:trPr>
        <w:tc>
          <w:tcPr>
            <w:tcW w:w="3982"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0C1EA6">
            <w:pPr>
              <w:rPr>
                <w:rFonts w:eastAsia="Times New Roman" w:cs="Calibri"/>
                <w:color w:val="000000"/>
                <w:lang w:eastAsia="cs-CZ"/>
              </w:rPr>
            </w:pPr>
            <w:r w:rsidRPr="003A7606">
              <w:rPr>
                <w:rFonts w:eastAsia="Times New Roman" w:cs="Calibri"/>
                <w:color w:val="000000"/>
                <w:lang w:eastAsia="cs-CZ"/>
              </w:rPr>
              <w:t> </w:t>
            </w:r>
          </w:p>
        </w:tc>
        <w:tc>
          <w:tcPr>
            <w:tcW w:w="1655" w:type="dxa"/>
            <w:tcBorders>
              <w:top w:val="single" w:sz="4" w:space="0" w:color="AEAEAE"/>
              <w:left w:val="nil"/>
              <w:bottom w:val="single" w:sz="4" w:space="0" w:color="auto"/>
              <w:right w:val="nil"/>
            </w:tcBorders>
            <w:shd w:val="clear" w:color="auto" w:fill="auto"/>
            <w:noWrap/>
            <w:hideMark/>
          </w:tcPr>
          <w:p w:rsidR="003A7606" w:rsidRPr="00F93571" w:rsidRDefault="003A7606" w:rsidP="000C1EA6">
            <w:pPr>
              <w:rPr>
                <w:rFonts w:eastAsia="Times New Roman" w:cs="Calibri"/>
                <w:b/>
                <w:color w:val="010205"/>
                <w:sz w:val="18"/>
                <w:szCs w:val="18"/>
                <w:lang w:eastAsia="cs-CZ"/>
              </w:rPr>
            </w:pPr>
            <w:r w:rsidRPr="00F93571">
              <w:rPr>
                <w:rFonts w:eastAsia="Times New Roman" w:cs="Calibri"/>
                <w:b/>
                <w:color w:val="010205"/>
                <w:sz w:val="18"/>
                <w:szCs w:val="18"/>
                <w:lang w:eastAsia="cs-CZ"/>
              </w:rPr>
              <w:t>Median</w:t>
            </w:r>
          </w:p>
        </w:tc>
        <w:tc>
          <w:tcPr>
            <w:tcW w:w="1089" w:type="dxa"/>
            <w:tcBorders>
              <w:top w:val="single" w:sz="4" w:space="0" w:color="AEAEAE"/>
              <w:left w:val="nil"/>
              <w:bottom w:val="single" w:sz="4" w:space="0" w:color="auto"/>
              <w:right w:val="nil"/>
            </w:tcBorders>
            <w:shd w:val="clear" w:color="auto" w:fill="auto"/>
            <w:noWrap/>
            <w:hideMark/>
          </w:tcPr>
          <w:p w:rsidR="003A7606" w:rsidRPr="00F93571" w:rsidRDefault="003A7606" w:rsidP="000C1EA6">
            <w:pPr>
              <w:rPr>
                <w:rFonts w:eastAsia="Times New Roman" w:cs="Calibri"/>
                <w:b/>
                <w:color w:val="010205"/>
                <w:sz w:val="18"/>
                <w:szCs w:val="18"/>
                <w:lang w:eastAsia="cs-CZ"/>
              </w:rPr>
            </w:pPr>
            <w:r w:rsidRPr="00F93571">
              <w:rPr>
                <w:rFonts w:eastAsia="Times New Roman" w:cs="Calibri"/>
                <w:b/>
                <w:color w:val="010205"/>
                <w:sz w:val="18"/>
                <w:szCs w:val="18"/>
                <w:lang w:eastAsia="cs-CZ"/>
              </w:rPr>
              <w:t>0,16</w:t>
            </w:r>
          </w:p>
        </w:tc>
        <w:tc>
          <w:tcPr>
            <w:tcW w:w="1152" w:type="dxa"/>
            <w:tcBorders>
              <w:top w:val="single" w:sz="4" w:space="0" w:color="AEAEAE"/>
              <w:left w:val="nil"/>
              <w:bottom w:val="single" w:sz="4" w:space="0" w:color="auto"/>
              <w:right w:val="nil"/>
            </w:tcBorders>
            <w:shd w:val="clear" w:color="auto" w:fill="auto"/>
            <w:noWrap/>
            <w:hideMark/>
          </w:tcPr>
          <w:p w:rsidR="003A7606" w:rsidRPr="00F93571" w:rsidRDefault="003A7606" w:rsidP="000C1EA6">
            <w:pPr>
              <w:rPr>
                <w:rFonts w:eastAsia="Times New Roman" w:cs="Calibri"/>
                <w:b/>
                <w:color w:val="010205"/>
                <w:sz w:val="18"/>
                <w:szCs w:val="18"/>
                <w:lang w:eastAsia="cs-CZ"/>
              </w:rPr>
            </w:pPr>
            <w:r w:rsidRPr="00F93571">
              <w:rPr>
                <w:rFonts w:eastAsia="Times New Roman" w:cs="Calibri"/>
                <w:b/>
                <w:color w:val="010205"/>
                <w:sz w:val="18"/>
                <w:szCs w:val="18"/>
                <w:lang w:eastAsia="cs-CZ"/>
              </w:rPr>
              <w:t>0,21</w:t>
            </w:r>
          </w:p>
        </w:tc>
        <w:tc>
          <w:tcPr>
            <w:tcW w:w="1194"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0C1EA6">
            <w:pPr>
              <w:rPr>
                <w:rFonts w:eastAsia="Times New Roman" w:cs="Calibri"/>
                <w:b/>
                <w:color w:val="010205"/>
                <w:sz w:val="18"/>
                <w:szCs w:val="18"/>
                <w:lang w:eastAsia="cs-CZ"/>
              </w:rPr>
            </w:pPr>
            <w:r w:rsidRPr="00F93571">
              <w:rPr>
                <w:rFonts w:eastAsia="Times New Roman" w:cs="Calibri"/>
                <w:b/>
                <w:color w:val="010205"/>
                <w:sz w:val="18"/>
                <w:szCs w:val="18"/>
                <w:lang w:eastAsia="cs-CZ"/>
              </w:rPr>
              <w:t>0,19</w:t>
            </w:r>
          </w:p>
        </w:tc>
      </w:tr>
      <w:tr w:rsidR="003A7606" w:rsidRPr="003A7606" w:rsidTr="00CF225B">
        <w:trPr>
          <w:trHeight w:val="170"/>
        </w:trPr>
        <w:tc>
          <w:tcPr>
            <w:tcW w:w="3982" w:type="dxa"/>
            <w:tcBorders>
              <w:top w:val="single" w:sz="4" w:space="0" w:color="auto"/>
              <w:left w:val="single" w:sz="4" w:space="0" w:color="auto"/>
              <w:bottom w:val="nil"/>
              <w:right w:val="nil"/>
            </w:tcBorders>
            <w:shd w:val="clear" w:color="auto" w:fill="auto"/>
            <w:noWrap/>
            <w:hideMark/>
          </w:tcPr>
          <w:p w:rsidR="003A7606" w:rsidRPr="003A7606" w:rsidRDefault="003A7606" w:rsidP="000C1EA6">
            <w:pPr>
              <w:rPr>
                <w:rFonts w:eastAsia="Times New Roman" w:cs="Calibri"/>
                <w:color w:val="010205"/>
                <w:sz w:val="18"/>
                <w:szCs w:val="18"/>
                <w:lang w:eastAsia="cs-CZ"/>
              </w:rPr>
            </w:pPr>
            <w:r w:rsidRPr="003A7606">
              <w:rPr>
                <w:rFonts w:eastAsia="Times New Roman" w:cs="Calibri"/>
                <w:color w:val="010205"/>
                <w:sz w:val="18"/>
                <w:szCs w:val="18"/>
                <w:lang w:eastAsia="cs-CZ"/>
              </w:rPr>
              <w:t>Marže primární EBITDA z výkonů</w:t>
            </w:r>
          </w:p>
        </w:tc>
        <w:tc>
          <w:tcPr>
            <w:tcW w:w="1655" w:type="dxa"/>
            <w:tcBorders>
              <w:top w:val="single" w:sz="4" w:space="0" w:color="auto"/>
              <w:left w:val="nil"/>
              <w:bottom w:val="nil"/>
              <w:right w:val="nil"/>
            </w:tcBorders>
            <w:shd w:val="clear" w:color="auto" w:fill="auto"/>
            <w:noWrap/>
            <w:hideMark/>
          </w:tcPr>
          <w:p w:rsidR="003A7606" w:rsidRPr="003A7606" w:rsidRDefault="003A7606" w:rsidP="000C1EA6">
            <w:pPr>
              <w:rPr>
                <w:rFonts w:eastAsia="Times New Roman" w:cs="Calibri"/>
                <w:color w:val="010205"/>
                <w:sz w:val="18"/>
                <w:szCs w:val="18"/>
                <w:lang w:eastAsia="cs-CZ"/>
              </w:rPr>
            </w:pPr>
            <w:r w:rsidRPr="003A7606">
              <w:rPr>
                <w:rFonts w:eastAsia="Times New Roman" w:cs="Calibri"/>
                <w:color w:val="010205"/>
                <w:sz w:val="18"/>
                <w:szCs w:val="18"/>
                <w:lang w:eastAsia="cs-CZ"/>
              </w:rPr>
              <w:t>Mean</w:t>
            </w:r>
          </w:p>
        </w:tc>
        <w:tc>
          <w:tcPr>
            <w:tcW w:w="1089" w:type="dxa"/>
            <w:tcBorders>
              <w:top w:val="single" w:sz="4" w:space="0" w:color="auto"/>
              <w:left w:val="nil"/>
              <w:bottom w:val="nil"/>
              <w:right w:val="nil"/>
            </w:tcBorders>
            <w:shd w:val="clear" w:color="auto" w:fill="auto"/>
            <w:noWrap/>
            <w:hideMark/>
          </w:tcPr>
          <w:p w:rsidR="003A7606" w:rsidRPr="003A7606" w:rsidRDefault="003A7606" w:rsidP="000C1EA6">
            <w:pPr>
              <w:rPr>
                <w:rFonts w:eastAsia="Times New Roman" w:cs="Calibri"/>
                <w:color w:val="010205"/>
                <w:sz w:val="18"/>
                <w:szCs w:val="18"/>
                <w:lang w:eastAsia="cs-CZ"/>
              </w:rPr>
            </w:pPr>
            <w:r w:rsidRPr="003A7606">
              <w:rPr>
                <w:rFonts w:eastAsia="Times New Roman" w:cs="Calibri"/>
                <w:color w:val="010205"/>
                <w:sz w:val="18"/>
                <w:szCs w:val="18"/>
                <w:lang w:eastAsia="cs-CZ"/>
              </w:rPr>
              <w:t>-2,00</w:t>
            </w:r>
          </w:p>
        </w:tc>
        <w:tc>
          <w:tcPr>
            <w:tcW w:w="1152" w:type="dxa"/>
            <w:tcBorders>
              <w:top w:val="single" w:sz="4" w:space="0" w:color="auto"/>
              <w:left w:val="nil"/>
              <w:bottom w:val="nil"/>
              <w:right w:val="nil"/>
            </w:tcBorders>
            <w:shd w:val="clear" w:color="auto" w:fill="auto"/>
            <w:noWrap/>
            <w:hideMark/>
          </w:tcPr>
          <w:p w:rsidR="003A7606" w:rsidRPr="003A7606" w:rsidRDefault="003A7606" w:rsidP="000C1EA6">
            <w:pPr>
              <w:rPr>
                <w:rFonts w:eastAsia="Times New Roman" w:cs="Calibri"/>
                <w:color w:val="010205"/>
                <w:sz w:val="18"/>
                <w:szCs w:val="18"/>
                <w:lang w:eastAsia="cs-CZ"/>
              </w:rPr>
            </w:pPr>
            <w:r w:rsidRPr="003A7606">
              <w:rPr>
                <w:rFonts w:eastAsia="Times New Roman" w:cs="Calibri"/>
                <w:color w:val="010205"/>
                <w:sz w:val="18"/>
                <w:szCs w:val="18"/>
                <w:lang w:eastAsia="cs-CZ"/>
              </w:rPr>
              <w:t>-44,90</w:t>
            </w:r>
          </w:p>
        </w:tc>
        <w:tc>
          <w:tcPr>
            <w:tcW w:w="1194" w:type="dxa"/>
            <w:tcBorders>
              <w:top w:val="single" w:sz="4" w:space="0" w:color="auto"/>
              <w:left w:val="nil"/>
              <w:bottom w:val="nil"/>
              <w:right w:val="single" w:sz="4" w:space="0" w:color="auto"/>
            </w:tcBorders>
            <w:shd w:val="clear" w:color="auto" w:fill="auto"/>
            <w:noWrap/>
            <w:hideMark/>
          </w:tcPr>
          <w:p w:rsidR="003A7606" w:rsidRPr="003A7606" w:rsidRDefault="003A7606" w:rsidP="000C1EA6">
            <w:pPr>
              <w:rPr>
                <w:rFonts w:eastAsia="Times New Roman" w:cs="Calibri"/>
                <w:color w:val="010205"/>
                <w:sz w:val="18"/>
                <w:szCs w:val="18"/>
                <w:lang w:eastAsia="cs-CZ"/>
              </w:rPr>
            </w:pPr>
            <w:r w:rsidRPr="003A7606">
              <w:rPr>
                <w:rFonts w:eastAsia="Times New Roman" w:cs="Calibri"/>
                <w:color w:val="010205"/>
                <w:sz w:val="18"/>
                <w:szCs w:val="18"/>
                <w:lang w:eastAsia="cs-CZ"/>
              </w:rPr>
              <w:t>-2,14</w:t>
            </w:r>
          </w:p>
        </w:tc>
      </w:tr>
      <w:tr w:rsidR="003A7606" w:rsidRPr="003A7606" w:rsidTr="00CF225B">
        <w:trPr>
          <w:trHeight w:val="170"/>
        </w:trPr>
        <w:tc>
          <w:tcPr>
            <w:tcW w:w="3982" w:type="dxa"/>
            <w:tcBorders>
              <w:top w:val="nil"/>
              <w:left w:val="single" w:sz="4" w:space="0" w:color="auto"/>
              <w:bottom w:val="nil"/>
              <w:right w:val="nil"/>
            </w:tcBorders>
            <w:shd w:val="clear" w:color="auto" w:fill="auto"/>
            <w:noWrap/>
            <w:vAlign w:val="bottom"/>
            <w:hideMark/>
          </w:tcPr>
          <w:p w:rsidR="003A7606" w:rsidRPr="003A7606" w:rsidRDefault="003A7606" w:rsidP="000C1EA6">
            <w:pPr>
              <w:rPr>
                <w:rFonts w:eastAsia="Times New Roman" w:cs="Calibri"/>
                <w:color w:val="000000"/>
                <w:lang w:eastAsia="cs-CZ"/>
              </w:rPr>
            </w:pPr>
            <w:r w:rsidRPr="003A7606">
              <w:rPr>
                <w:rFonts w:eastAsia="Times New Roman" w:cs="Calibri"/>
                <w:color w:val="000000"/>
                <w:lang w:eastAsia="cs-CZ"/>
              </w:rPr>
              <w:t> </w:t>
            </w:r>
          </w:p>
        </w:tc>
        <w:tc>
          <w:tcPr>
            <w:tcW w:w="1655" w:type="dxa"/>
            <w:tcBorders>
              <w:top w:val="single" w:sz="4" w:space="0" w:color="AEAEAE"/>
              <w:left w:val="nil"/>
              <w:bottom w:val="nil"/>
              <w:right w:val="nil"/>
            </w:tcBorders>
            <w:shd w:val="clear" w:color="auto" w:fill="auto"/>
            <w:noWrap/>
            <w:hideMark/>
          </w:tcPr>
          <w:p w:rsidR="003A7606" w:rsidRPr="00F93571" w:rsidRDefault="003A7606" w:rsidP="000C1EA6">
            <w:pPr>
              <w:rPr>
                <w:rFonts w:eastAsia="Times New Roman" w:cs="Calibri"/>
                <w:b/>
                <w:sz w:val="18"/>
                <w:szCs w:val="18"/>
                <w:lang w:eastAsia="cs-CZ"/>
              </w:rPr>
            </w:pPr>
            <w:r w:rsidRPr="00F93571">
              <w:rPr>
                <w:rFonts w:eastAsia="Times New Roman" w:cs="Calibri"/>
                <w:b/>
                <w:sz w:val="18"/>
                <w:szCs w:val="18"/>
                <w:lang w:eastAsia="cs-CZ"/>
              </w:rPr>
              <w:t>5% Trimmed Mean</w:t>
            </w:r>
          </w:p>
        </w:tc>
        <w:tc>
          <w:tcPr>
            <w:tcW w:w="1089" w:type="dxa"/>
            <w:tcBorders>
              <w:top w:val="single" w:sz="4" w:space="0" w:color="AEAEAE"/>
              <w:left w:val="nil"/>
              <w:bottom w:val="nil"/>
              <w:right w:val="nil"/>
            </w:tcBorders>
            <w:shd w:val="clear" w:color="auto" w:fill="auto"/>
            <w:noWrap/>
            <w:hideMark/>
          </w:tcPr>
          <w:p w:rsidR="003A7606" w:rsidRPr="00F93571" w:rsidRDefault="003A7606" w:rsidP="000C1EA6">
            <w:pPr>
              <w:rPr>
                <w:rFonts w:eastAsia="Times New Roman" w:cs="Calibri"/>
                <w:b/>
                <w:color w:val="FF0000"/>
                <w:sz w:val="18"/>
                <w:szCs w:val="18"/>
                <w:lang w:eastAsia="cs-CZ"/>
              </w:rPr>
            </w:pPr>
            <w:r w:rsidRPr="00F93571">
              <w:rPr>
                <w:rFonts w:eastAsia="Times New Roman" w:cs="Calibri"/>
                <w:b/>
                <w:color w:val="FF0000"/>
                <w:sz w:val="18"/>
                <w:szCs w:val="18"/>
                <w:lang w:eastAsia="cs-CZ"/>
              </w:rPr>
              <w:t>-0,27</w:t>
            </w:r>
          </w:p>
        </w:tc>
        <w:tc>
          <w:tcPr>
            <w:tcW w:w="1152" w:type="dxa"/>
            <w:tcBorders>
              <w:top w:val="single" w:sz="4" w:space="0" w:color="AEAEAE"/>
              <w:left w:val="nil"/>
              <w:bottom w:val="nil"/>
              <w:right w:val="nil"/>
            </w:tcBorders>
            <w:shd w:val="clear" w:color="auto" w:fill="auto"/>
            <w:noWrap/>
            <w:hideMark/>
          </w:tcPr>
          <w:p w:rsidR="003A7606" w:rsidRPr="00F93571" w:rsidRDefault="003A7606" w:rsidP="000C1EA6">
            <w:pPr>
              <w:rPr>
                <w:rFonts w:eastAsia="Times New Roman" w:cs="Calibri"/>
                <w:b/>
                <w:color w:val="FF0000"/>
                <w:sz w:val="18"/>
                <w:szCs w:val="18"/>
                <w:lang w:eastAsia="cs-CZ"/>
              </w:rPr>
            </w:pPr>
            <w:r w:rsidRPr="00F93571">
              <w:rPr>
                <w:rFonts w:eastAsia="Times New Roman" w:cs="Calibri"/>
                <w:b/>
                <w:color w:val="FF0000"/>
                <w:sz w:val="18"/>
                <w:szCs w:val="18"/>
                <w:lang w:eastAsia="cs-CZ"/>
              </w:rPr>
              <w:t>-0,09</w:t>
            </w:r>
          </w:p>
        </w:tc>
        <w:tc>
          <w:tcPr>
            <w:tcW w:w="1194" w:type="dxa"/>
            <w:tcBorders>
              <w:top w:val="single" w:sz="4" w:space="0" w:color="AEAEAE"/>
              <w:left w:val="nil"/>
              <w:bottom w:val="nil"/>
              <w:right w:val="single" w:sz="4" w:space="0" w:color="auto"/>
            </w:tcBorders>
            <w:shd w:val="clear" w:color="auto" w:fill="auto"/>
            <w:noWrap/>
            <w:hideMark/>
          </w:tcPr>
          <w:p w:rsidR="003A7606" w:rsidRPr="00F93571" w:rsidRDefault="003A7606" w:rsidP="000C1EA6">
            <w:pPr>
              <w:rPr>
                <w:rFonts w:eastAsia="Times New Roman" w:cs="Calibri"/>
                <w:b/>
                <w:color w:val="FF0000"/>
                <w:sz w:val="18"/>
                <w:szCs w:val="18"/>
                <w:lang w:eastAsia="cs-CZ"/>
              </w:rPr>
            </w:pPr>
            <w:r w:rsidRPr="00F93571">
              <w:rPr>
                <w:rFonts w:eastAsia="Times New Roman" w:cs="Calibri"/>
                <w:b/>
                <w:color w:val="FF0000"/>
                <w:sz w:val="18"/>
                <w:szCs w:val="18"/>
                <w:lang w:eastAsia="cs-CZ"/>
              </w:rPr>
              <w:t>-0,07</w:t>
            </w:r>
          </w:p>
        </w:tc>
      </w:tr>
      <w:tr w:rsidR="003A7606" w:rsidRPr="003A7606" w:rsidTr="00CF225B">
        <w:trPr>
          <w:trHeight w:val="170"/>
        </w:trPr>
        <w:tc>
          <w:tcPr>
            <w:tcW w:w="3982"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0C1EA6">
            <w:pPr>
              <w:rPr>
                <w:rFonts w:eastAsia="Times New Roman" w:cs="Calibri"/>
                <w:color w:val="000000"/>
                <w:lang w:eastAsia="cs-CZ"/>
              </w:rPr>
            </w:pPr>
            <w:r w:rsidRPr="003A7606">
              <w:rPr>
                <w:rFonts w:eastAsia="Times New Roman" w:cs="Calibri"/>
                <w:color w:val="000000"/>
                <w:lang w:eastAsia="cs-CZ"/>
              </w:rPr>
              <w:t> </w:t>
            </w:r>
          </w:p>
        </w:tc>
        <w:tc>
          <w:tcPr>
            <w:tcW w:w="1655" w:type="dxa"/>
            <w:tcBorders>
              <w:top w:val="single" w:sz="4" w:space="0" w:color="AEAEAE"/>
              <w:left w:val="nil"/>
              <w:bottom w:val="single" w:sz="4" w:space="0" w:color="auto"/>
              <w:right w:val="nil"/>
            </w:tcBorders>
            <w:shd w:val="clear" w:color="auto" w:fill="auto"/>
            <w:noWrap/>
            <w:hideMark/>
          </w:tcPr>
          <w:p w:rsidR="003A7606" w:rsidRPr="00F93571" w:rsidRDefault="003A7606" w:rsidP="000C1EA6">
            <w:pPr>
              <w:rPr>
                <w:rFonts w:eastAsia="Times New Roman" w:cs="Calibri"/>
                <w:b/>
                <w:sz w:val="18"/>
                <w:szCs w:val="18"/>
                <w:lang w:eastAsia="cs-CZ"/>
              </w:rPr>
            </w:pPr>
            <w:r w:rsidRPr="00F93571">
              <w:rPr>
                <w:rFonts w:eastAsia="Times New Roman" w:cs="Calibri"/>
                <w:b/>
                <w:sz w:val="18"/>
                <w:szCs w:val="18"/>
                <w:lang w:eastAsia="cs-CZ"/>
              </w:rPr>
              <w:t>Median</w:t>
            </w:r>
          </w:p>
        </w:tc>
        <w:tc>
          <w:tcPr>
            <w:tcW w:w="1089" w:type="dxa"/>
            <w:tcBorders>
              <w:top w:val="single" w:sz="4" w:space="0" w:color="AEAEAE"/>
              <w:left w:val="nil"/>
              <w:bottom w:val="single" w:sz="4" w:space="0" w:color="auto"/>
              <w:right w:val="nil"/>
            </w:tcBorders>
            <w:shd w:val="clear" w:color="auto" w:fill="auto"/>
            <w:noWrap/>
            <w:hideMark/>
          </w:tcPr>
          <w:p w:rsidR="003A7606" w:rsidRPr="00F93571" w:rsidRDefault="003A7606" w:rsidP="000C1EA6">
            <w:pPr>
              <w:rPr>
                <w:rFonts w:eastAsia="Times New Roman" w:cs="Calibri"/>
                <w:b/>
                <w:color w:val="FF0000"/>
                <w:sz w:val="18"/>
                <w:szCs w:val="18"/>
                <w:lang w:eastAsia="cs-CZ"/>
              </w:rPr>
            </w:pPr>
            <w:r w:rsidRPr="00F93571">
              <w:rPr>
                <w:rFonts w:eastAsia="Times New Roman" w:cs="Calibri"/>
                <w:b/>
                <w:color w:val="FF0000"/>
                <w:sz w:val="18"/>
                <w:szCs w:val="18"/>
                <w:lang w:eastAsia="cs-CZ"/>
              </w:rPr>
              <w:t>-0,10</w:t>
            </w:r>
          </w:p>
        </w:tc>
        <w:tc>
          <w:tcPr>
            <w:tcW w:w="1152" w:type="dxa"/>
            <w:tcBorders>
              <w:top w:val="single" w:sz="4" w:space="0" w:color="AEAEAE"/>
              <w:left w:val="nil"/>
              <w:bottom w:val="single" w:sz="4" w:space="0" w:color="auto"/>
              <w:right w:val="nil"/>
            </w:tcBorders>
            <w:shd w:val="clear" w:color="auto" w:fill="auto"/>
            <w:noWrap/>
            <w:hideMark/>
          </w:tcPr>
          <w:p w:rsidR="003A7606" w:rsidRPr="00F93571" w:rsidRDefault="003A7606" w:rsidP="000C1EA6">
            <w:pPr>
              <w:rPr>
                <w:rFonts w:eastAsia="Times New Roman" w:cs="Calibri"/>
                <w:b/>
                <w:color w:val="FF0000"/>
                <w:sz w:val="18"/>
                <w:szCs w:val="18"/>
                <w:lang w:eastAsia="cs-CZ"/>
              </w:rPr>
            </w:pPr>
            <w:r w:rsidRPr="00F93571">
              <w:rPr>
                <w:rFonts w:eastAsia="Times New Roman" w:cs="Calibri"/>
                <w:b/>
                <w:color w:val="FF0000"/>
                <w:sz w:val="18"/>
                <w:szCs w:val="18"/>
                <w:lang w:eastAsia="cs-CZ"/>
              </w:rPr>
              <w:t>-0,01</w:t>
            </w:r>
          </w:p>
        </w:tc>
        <w:tc>
          <w:tcPr>
            <w:tcW w:w="1194"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0C1EA6">
            <w:pPr>
              <w:rPr>
                <w:rFonts w:eastAsia="Times New Roman" w:cs="Calibri"/>
                <w:b/>
                <w:color w:val="FF0000"/>
                <w:sz w:val="18"/>
                <w:szCs w:val="18"/>
                <w:lang w:eastAsia="cs-CZ"/>
              </w:rPr>
            </w:pPr>
            <w:r w:rsidRPr="00F93571">
              <w:rPr>
                <w:rFonts w:eastAsia="Times New Roman" w:cs="Calibri"/>
                <w:b/>
                <w:color w:val="FF0000"/>
                <w:sz w:val="18"/>
                <w:szCs w:val="18"/>
                <w:lang w:eastAsia="cs-CZ"/>
              </w:rPr>
              <w:t>0,01</w:t>
            </w:r>
          </w:p>
        </w:tc>
      </w:tr>
      <w:tr w:rsidR="003A7606" w:rsidRPr="003A7606" w:rsidTr="00CF225B">
        <w:trPr>
          <w:trHeight w:val="170"/>
        </w:trPr>
        <w:tc>
          <w:tcPr>
            <w:tcW w:w="3982" w:type="dxa"/>
            <w:tcBorders>
              <w:top w:val="single" w:sz="4" w:space="0" w:color="auto"/>
              <w:left w:val="single" w:sz="4" w:space="0" w:color="auto"/>
              <w:bottom w:val="nil"/>
              <w:right w:val="nil"/>
            </w:tcBorders>
            <w:shd w:val="clear" w:color="auto" w:fill="auto"/>
            <w:noWrap/>
            <w:hideMark/>
          </w:tcPr>
          <w:p w:rsidR="003A7606" w:rsidRPr="003A7606" w:rsidRDefault="003A7606" w:rsidP="000C1EA6">
            <w:pPr>
              <w:rPr>
                <w:rFonts w:eastAsia="Times New Roman" w:cs="Calibri"/>
                <w:color w:val="010205"/>
                <w:sz w:val="18"/>
                <w:szCs w:val="18"/>
                <w:lang w:eastAsia="cs-CZ"/>
              </w:rPr>
            </w:pPr>
            <w:r w:rsidRPr="003A7606">
              <w:rPr>
                <w:rFonts w:eastAsia="Times New Roman" w:cs="Calibri"/>
                <w:color w:val="010205"/>
                <w:sz w:val="18"/>
                <w:szCs w:val="18"/>
                <w:lang w:eastAsia="cs-CZ"/>
              </w:rPr>
              <w:t>Marže provozní EBITDA z výkonů</w:t>
            </w:r>
          </w:p>
        </w:tc>
        <w:tc>
          <w:tcPr>
            <w:tcW w:w="1655" w:type="dxa"/>
            <w:tcBorders>
              <w:top w:val="single" w:sz="4" w:space="0" w:color="auto"/>
              <w:left w:val="nil"/>
              <w:bottom w:val="nil"/>
              <w:right w:val="nil"/>
            </w:tcBorders>
            <w:shd w:val="clear" w:color="auto" w:fill="auto"/>
            <w:noWrap/>
            <w:hideMark/>
          </w:tcPr>
          <w:p w:rsidR="003A7606" w:rsidRPr="003A7606" w:rsidRDefault="003A7606" w:rsidP="000C1EA6">
            <w:pPr>
              <w:rPr>
                <w:rFonts w:eastAsia="Times New Roman" w:cs="Calibri"/>
                <w:color w:val="010205"/>
                <w:sz w:val="18"/>
                <w:szCs w:val="18"/>
                <w:lang w:eastAsia="cs-CZ"/>
              </w:rPr>
            </w:pPr>
            <w:r w:rsidRPr="003A7606">
              <w:rPr>
                <w:rFonts w:eastAsia="Times New Roman" w:cs="Calibri"/>
                <w:color w:val="010205"/>
                <w:sz w:val="18"/>
                <w:szCs w:val="18"/>
                <w:lang w:eastAsia="cs-CZ"/>
              </w:rPr>
              <w:t>Mean</w:t>
            </w:r>
          </w:p>
        </w:tc>
        <w:tc>
          <w:tcPr>
            <w:tcW w:w="1089" w:type="dxa"/>
            <w:tcBorders>
              <w:top w:val="single" w:sz="4" w:space="0" w:color="auto"/>
              <w:left w:val="nil"/>
              <w:bottom w:val="nil"/>
              <w:right w:val="nil"/>
            </w:tcBorders>
            <w:shd w:val="clear" w:color="auto" w:fill="auto"/>
            <w:noWrap/>
            <w:hideMark/>
          </w:tcPr>
          <w:p w:rsidR="003A7606" w:rsidRPr="003A7606" w:rsidRDefault="003A7606" w:rsidP="000C1EA6">
            <w:pPr>
              <w:rPr>
                <w:rFonts w:eastAsia="Times New Roman" w:cs="Calibri"/>
                <w:color w:val="010205"/>
                <w:sz w:val="18"/>
                <w:szCs w:val="18"/>
                <w:lang w:eastAsia="cs-CZ"/>
              </w:rPr>
            </w:pPr>
            <w:r w:rsidRPr="003A7606">
              <w:rPr>
                <w:rFonts w:eastAsia="Times New Roman" w:cs="Calibri"/>
                <w:color w:val="010205"/>
                <w:sz w:val="18"/>
                <w:szCs w:val="18"/>
                <w:lang w:eastAsia="cs-CZ"/>
              </w:rPr>
              <w:t>3,68</w:t>
            </w:r>
          </w:p>
        </w:tc>
        <w:tc>
          <w:tcPr>
            <w:tcW w:w="1152" w:type="dxa"/>
            <w:tcBorders>
              <w:top w:val="single" w:sz="4" w:space="0" w:color="auto"/>
              <w:left w:val="nil"/>
              <w:bottom w:val="nil"/>
              <w:right w:val="nil"/>
            </w:tcBorders>
            <w:shd w:val="clear" w:color="auto" w:fill="auto"/>
            <w:noWrap/>
            <w:hideMark/>
          </w:tcPr>
          <w:p w:rsidR="003A7606" w:rsidRPr="003A7606" w:rsidRDefault="003A7606" w:rsidP="000C1EA6">
            <w:pPr>
              <w:rPr>
                <w:rFonts w:eastAsia="Times New Roman" w:cs="Calibri"/>
                <w:color w:val="010205"/>
                <w:sz w:val="18"/>
                <w:szCs w:val="18"/>
                <w:lang w:eastAsia="cs-CZ"/>
              </w:rPr>
            </w:pPr>
            <w:r w:rsidRPr="003A7606">
              <w:rPr>
                <w:rFonts w:eastAsia="Times New Roman" w:cs="Calibri"/>
                <w:color w:val="010205"/>
                <w:sz w:val="18"/>
                <w:szCs w:val="18"/>
                <w:lang w:eastAsia="cs-CZ"/>
              </w:rPr>
              <w:t>-71,57</w:t>
            </w:r>
          </w:p>
        </w:tc>
        <w:tc>
          <w:tcPr>
            <w:tcW w:w="1194" w:type="dxa"/>
            <w:tcBorders>
              <w:top w:val="single" w:sz="4" w:space="0" w:color="auto"/>
              <w:left w:val="nil"/>
              <w:bottom w:val="nil"/>
              <w:right w:val="single" w:sz="4" w:space="0" w:color="auto"/>
            </w:tcBorders>
            <w:shd w:val="clear" w:color="auto" w:fill="auto"/>
            <w:noWrap/>
            <w:hideMark/>
          </w:tcPr>
          <w:p w:rsidR="003A7606" w:rsidRPr="003A7606" w:rsidRDefault="003A7606" w:rsidP="000C1EA6">
            <w:pPr>
              <w:rPr>
                <w:rFonts w:eastAsia="Times New Roman" w:cs="Calibri"/>
                <w:color w:val="010205"/>
                <w:sz w:val="18"/>
                <w:szCs w:val="18"/>
                <w:lang w:eastAsia="cs-CZ"/>
              </w:rPr>
            </w:pPr>
            <w:r w:rsidRPr="003A7606">
              <w:rPr>
                <w:rFonts w:eastAsia="Times New Roman" w:cs="Calibri"/>
                <w:color w:val="010205"/>
                <w:sz w:val="18"/>
                <w:szCs w:val="18"/>
                <w:lang w:eastAsia="cs-CZ"/>
              </w:rPr>
              <w:t>1,80</w:t>
            </w:r>
          </w:p>
        </w:tc>
      </w:tr>
      <w:tr w:rsidR="003A7606" w:rsidRPr="003A7606" w:rsidTr="00CF225B">
        <w:trPr>
          <w:trHeight w:val="170"/>
        </w:trPr>
        <w:tc>
          <w:tcPr>
            <w:tcW w:w="3982" w:type="dxa"/>
            <w:tcBorders>
              <w:top w:val="nil"/>
              <w:left w:val="single" w:sz="4" w:space="0" w:color="auto"/>
              <w:bottom w:val="nil"/>
              <w:right w:val="nil"/>
            </w:tcBorders>
            <w:shd w:val="clear" w:color="auto" w:fill="auto"/>
            <w:noWrap/>
            <w:vAlign w:val="bottom"/>
            <w:hideMark/>
          </w:tcPr>
          <w:p w:rsidR="003A7606" w:rsidRPr="003A7606" w:rsidRDefault="003A7606" w:rsidP="000C1EA6">
            <w:pPr>
              <w:rPr>
                <w:rFonts w:eastAsia="Times New Roman" w:cs="Calibri"/>
                <w:color w:val="000000"/>
                <w:lang w:eastAsia="cs-CZ"/>
              </w:rPr>
            </w:pPr>
            <w:r w:rsidRPr="003A7606">
              <w:rPr>
                <w:rFonts w:eastAsia="Times New Roman" w:cs="Calibri"/>
                <w:color w:val="000000"/>
                <w:lang w:eastAsia="cs-CZ"/>
              </w:rPr>
              <w:t> </w:t>
            </w:r>
          </w:p>
        </w:tc>
        <w:tc>
          <w:tcPr>
            <w:tcW w:w="1655" w:type="dxa"/>
            <w:tcBorders>
              <w:top w:val="single" w:sz="4" w:space="0" w:color="AEAEAE"/>
              <w:left w:val="nil"/>
              <w:bottom w:val="nil"/>
              <w:right w:val="nil"/>
            </w:tcBorders>
            <w:shd w:val="clear" w:color="auto" w:fill="auto"/>
            <w:noWrap/>
            <w:hideMark/>
          </w:tcPr>
          <w:p w:rsidR="003A7606" w:rsidRPr="00F93571" w:rsidRDefault="003A7606" w:rsidP="000C1EA6">
            <w:pPr>
              <w:rPr>
                <w:rFonts w:eastAsia="Times New Roman" w:cs="Calibri"/>
                <w:b/>
                <w:color w:val="010205"/>
                <w:sz w:val="18"/>
                <w:szCs w:val="18"/>
                <w:lang w:eastAsia="cs-CZ"/>
              </w:rPr>
            </w:pPr>
            <w:r w:rsidRPr="00F93571">
              <w:rPr>
                <w:rFonts w:eastAsia="Times New Roman" w:cs="Calibri"/>
                <w:b/>
                <w:color w:val="010205"/>
                <w:sz w:val="18"/>
                <w:szCs w:val="18"/>
                <w:lang w:eastAsia="cs-CZ"/>
              </w:rPr>
              <w:t>5% Trimmed Mean</w:t>
            </w:r>
          </w:p>
        </w:tc>
        <w:tc>
          <w:tcPr>
            <w:tcW w:w="1089" w:type="dxa"/>
            <w:tcBorders>
              <w:top w:val="single" w:sz="4" w:space="0" w:color="AEAEAE"/>
              <w:left w:val="nil"/>
              <w:bottom w:val="nil"/>
              <w:right w:val="nil"/>
            </w:tcBorders>
            <w:shd w:val="clear" w:color="auto" w:fill="auto"/>
            <w:noWrap/>
            <w:hideMark/>
          </w:tcPr>
          <w:p w:rsidR="003A7606" w:rsidRPr="00F93571" w:rsidRDefault="003A7606" w:rsidP="000C1EA6">
            <w:pPr>
              <w:rPr>
                <w:rFonts w:eastAsia="Times New Roman" w:cs="Calibri"/>
                <w:b/>
                <w:color w:val="FF0000"/>
                <w:sz w:val="18"/>
                <w:szCs w:val="18"/>
                <w:lang w:eastAsia="cs-CZ"/>
              </w:rPr>
            </w:pPr>
            <w:r w:rsidRPr="00F93571">
              <w:rPr>
                <w:rFonts w:eastAsia="Times New Roman" w:cs="Calibri"/>
                <w:b/>
                <w:color w:val="FF0000"/>
                <w:sz w:val="18"/>
                <w:szCs w:val="18"/>
                <w:lang w:eastAsia="cs-CZ"/>
              </w:rPr>
              <w:t>-0,35</w:t>
            </w:r>
          </w:p>
        </w:tc>
        <w:tc>
          <w:tcPr>
            <w:tcW w:w="1152" w:type="dxa"/>
            <w:tcBorders>
              <w:top w:val="single" w:sz="4" w:space="0" w:color="AEAEAE"/>
              <w:left w:val="nil"/>
              <w:bottom w:val="nil"/>
              <w:right w:val="nil"/>
            </w:tcBorders>
            <w:shd w:val="clear" w:color="auto" w:fill="auto"/>
            <w:noWrap/>
            <w:hideMark/>
          </w:tcPr>
          <w:p w:rsidR="003A7606" w:rsidRPr="00F93571" w:rsidRDefault="003A7606" w:rsidP="000C1EA6">
            <w:pPr>
              <w:rPr>
                <w:rFonts w:eastAsia="Times New Roman" w:cs="Calibri"/>
                <w:b/>
                <w:color w:val="FF0000"/>
                <w:sz w:val="18"/>
                <w:szCs w:val="18"/>
                <w:lang w:eastAsia="cs-CZ"/>
              </w:rPr>
            </w:pPr>
            <w:r w:rsidRPr="00F93571">
              <w:rPr>
                <w:rFonts w:eastAsia="Times New Roman" w:cs="Calibri"/>
                <w:b/>
                <w:color w:val="FF0000"/>
                <w:sz w:val="18"/>
                <w:szCs w:val="18"/>
                <w:lang w:eastAsia="cs-CZ"/>
              </w:rPr>
              <w:t>-0,10</w:t>
            </w:r>
          </w:p>
        </w:tc>
        <w:tc>
          <w:tcPr>
            <w:tcW w:w="1194" w:type="dxa"/>
            <w:tcBorders>
              <w:top w:val="single" w:sz="4" w:space="0" w:color="AEAEAE"/>
              <w:left w:val="nil"/>
              <w:bottom w:val="nil"/>
              <w:right w:val="single" w:sz="4" w:space="0" w:color="auto"/>
            </w:tcBorders>
            <w:shd w:val="clear" w:color="auto" w:fill="auto"/>
            <w:noWrap/>
            <w:hideMark/>
          </w:tcPr>
          <w:p w:rsidR="003A7606" w:rsidRPr="00F93571" w:rsidRDefault="003A7606" w:rsidP="000C1EA6">
            <w:pPr>
              <w:rPr>
                <w:rFonts w:eastAsia="Times New Roman" w:cs="Calibri"/>
                <w:b/>
                <w:color w:val="010205"/>
                <w:sz w:val="18"/>
                <w:szCs w:val="18"/>
                <w:lang w:eastAsia="cs-CZ"/>
              </w:rPr>
            </w:pPr>
            <w:r w:rsidRPr="00F93571">
              <w:rPr>
                <w:rFonts w:eastAsia="Times New Roman" w:cs="Calibri"/>
                <w:b/>
                <w:color w:val="FF0000"/>
                <w:sz w:val="18"/>
                <w:szCs w:val="18"/>
                <w:lang w:eastAsia="cs-CZ"/>
              </w:rPr>
              <w:t>-0,06</w:t>
            </w:r>
          </w:p>
        </w:tc>
      </w:tr>
      <w:tr w:rsidR="003A7606" w:rsidRPr="003A7606" w:rsidTr="00CF225B">
        <w:trPr>
          <w:trHeight w:val="170"/>
        </w:trPr>
        <w:tc>
          <w:tcPr>
            <w:tcW w:w="3982"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0C1EA6">
            <w:pPr>
              <w:rPr>
                <w:rFonts w:eastAsia="Times New Roman" w:cs="Calibri"/>
                <w:color w:val="000000"/>
                <w:lang w:eastAsia="cs-CZ"/>
              </w:rPr>
            </w:pPr>
            <w:r w:rsidRPr="003A7606">
              <w:rPr>
                <w:rFonts w:eastAsia="Times New Roman" w:cs="Calibri"/>
                <w:color w:val="000000"/>
                <w:lang w:eastAsia="cs-CZ"/>
              </w:rPr>
              <w:t> </w:t>
            </w:r>
          </w:p>
        </w:tc>
        <w:tc>
          <w:tcPr>
            <w:tcW w:w="1655" w:type="dxa"/>
            <w:tcBorders>
              <w:top w:val="single" w:sz="4" w:space="0" w:color="AEAEAE"/>
              <w:left w:val="nil"/>
              <w:bottom w:val="single" w:sz="4" w:space="0" w:color="auto"/>
              <w:right w:val="nil"/>
            </w:tcBorders>
            <w:shd w:val="clear" w:color="auto" w:fill="auto"/>
            <w:noWrap/>
            <w:hideMark/>
          </w:tcPr>
          <w:p w:rsidR="003A7606" w:rsidRPr="00F93571" w:rsidRDefault="003A7606" w:rsidP="000C1EA6">
            <w:pPr>
              <w:rPr>
                <w:rFonts w:eastAsia="Times New Roman" w:cs="Calibri"/>
                <w:b/>
                <w:color w:val="010205"/>
                <w:sz w:val="18"/>
                <w:szCs w:val="18"/>
                <w:lang w:eastAsia="cs-CZ"/>
              </w:rPr>
            </w:pPr>
            <w:r w:rsidRPr="00F93571">
              <w:rPr>
                <w:rFonts w:eastAsia="Times New Roman" w:cs="Calibri"/>
                <w:b/>
                <w:color w:val="010205"/>
                <w:sz w:val="18"/>
                <w:szCs w:val="18"/>
                <w:lang w:eastAsia="cs-CZ"/>
              </w:rPr>
              <w:t>Median</w:t>
            </w:r>
          </w:p>
        </w:tc>
        <w:tc>
          <w:tcPr>
            <w:tcW w:w="1089" w:type="dxa"/>
            <w:tcBorders>
              <w:top w:val="single" w:sz="4" w:space="0" w:color="AEAEAE"/>
              <w:left w:val="nil"/>
              <w:bottom w:val="single" w:sz="4" w:space="0" w:color="auto"/>
              <w:right w:val="nil"/>
            </w:tcBorders>
            <w:shd w:val="clear" w:color="auto" w:fill="auto"/>
            <w:noWrap/>
            <w:hideMark/>
          </w:tcPr>
          <w:p w:rsidR="003A7606" w:rsidRPr="00F93571" w:rsidRDefault="003A7606" w:rsidP="000C1EA6">
            <w:pPr>
              <w:rPr>
                <w:rFonts w:eastAsia="Times New Roman" w:cs="Calibri"/>
                <w:b/>
                <w:color w:val="FF0000"/>
                <w:sz w:val="18"/>
                <w:szCs w:val="18"/>
                <w:lang w:eastAsia="cs-CZ"/>
              </w:rPr>
            </w:pPr>
            <w:r w:rsidRPr="00F93571">
              <w:rPr>
                <w:rFonts w:eastAsia="Times New Roman" w:cs="Calibri"/>
                <w:b/>
                <w:color w:val="FF0000"/>
                <w:sz w:val="18"/>
                <w:szCs w:val="18"/>
                <w:lang w:eastAsia="cs-CZ"/>
              </w:rPr>
              <w:t>-0,15</w:t>
            </w:r>
          </w:p>
        </w:tc>
        <w:tc>
          <w:tcPr>
            <w:tcW w:w="1152" w:type="dxa"/>
            <w:tcBorders>
              <w:top w:val="single" w:sz="4" w:space="0" w:color="AEAEAE"/>
              <w:left w:val="nil"/>
              <w:bottom w:val="single" w:sz="4" w:space="0" w:color="auto"/>
              <w:right w:val="nil"/>
            </w:tcBorders>
            <w:shd w:val="clear" w:color="auto" w:fill="auto"/>
            <w:noWrap/>
            <w:hideMark/>
          </w:tcPr>
          <w:p w:rsidR="003A7606" w:rsidRPr="00F93571" w:rsidRDefault="003A7606" w:rsidP="000C1EA6">
            <w:pPr>
              <w:rPr>
                <w:rFonts w:eastAsia="Times New Roman" w:cs="Calibri"/>
                <w:b/>
                <w:color w:val="FF0000"/>
                <w:sz w:val="18"/>
                <w:szCs w:val="18"/>
                <w:lang w:eastAsia="cs-CZ"/>
              </w:rPr>
            </w:pPr>
            <w:r w:rsidRPr="00F93571">
              <w:rPr>
                <w:rFonts w:eastAsia="Times New Roman" w:cs="Calibri"/>
                <w:b/>
                <w:color w:val="FF0000"/>
                <w:sz w:val="18"/>
                <w:szCs w:val="18"/>
                <w:lang w:eastAsia="cs-CZ"/>
              </w:rPr>
              <w:t>-0,02</w:t>
            </w:r>
          </w:p>
        </w:tc>
        <w:tc>
          <w:tcPr>
            <w:tcW w:w="1194"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0C1EA6">
            <w:pPr>
              <w:rPr>
                <w:rFonts w:eastAsia="Times New Roman" w:cs="Calibri"/>
                <w:b/>
                <w:color w:val="010205"/>
                <w:sz w:val="18"/>
                <w:szCs w:val="18"/>
                <w:lang w:eastAsia="cs-CZ"/>
              </w:rPr>
            </w:pPr>
            <w:r w:rsidRPr="00F93571">
              <w:rPr>
                <w:rFonts w:eastAsia="Times New Roman" w:cs="Calibri"/>
                <w:b/>
                <w:color w:val="010205"/>
                <w:sz w:val="18"/>
                <w:szCs w:val="18"/>
                <w:lang w:eastAsia="cs-CZ"/>
              </w:rPr>
              <w:t>0,01</w:t>
            </w:r>
          </w:p>
        </w:tc>
      </w:tr>
      <w:tr w:rsidR="003A7606" w:rsidRPr="003A7606" w:rsidTr="00CF225B">
        <w:trPr>
          <w:trHeight w:val="170"/>
        </w:trPr>
        <w:tc>
          <w:tcPr>
            <w:tcW w:w="3982" w:type="dxa"/>
            <w:tcBorders>
              <w:top w:val="single" w:sz="4" w:space="0" w:color="auto"/>
              <w:left w:val="single" w:sz="4" w:space="0" w:color="auto"/>
              <w:bottom w:val="nil"/>
              <w:right w:val="nil"/>
            </w:tcBorders>
            <w:shd w:val="clear" w:color="auto" w:fill="auto"/>
            <w:noWrap/>
            <w:hideMark/>
          </w:tcPr>
          <w:p w:rsidR="003A7606" w:rsidRPr="003A7606" w:rsidRDefault="003A7606" w:rsidP="000C1EA6">
            <w:pPr>
              <w:rPr>
                <w:rFonts w:eastAsia="Times New Roman" w:cs="Calibri"/>
                <w:color w:val="010205"/>
                <w:sz w:val="18"/>
                <w:szCs w:val="18"/>
                <w:lang w:eastAsia="cs-CZ"/>
              </w:rPr>
            </w:pPr>
            <w:r w:rsidRPr="003A7606">
              <w:rPr>
                <w:rFonts w:eastAsia="Times New Roman" w:cs="Calibri"/>
                <w:color w:val="010205"/>
                <w:sz w:val="18"/>
                <w:szCs w:val="18"/>
                <w:lang w:eastAsia="cs-CZ"/>
              </w:rPr>
              <w:t>Marže EBITDA z výkonů</w:t>
            </w:r>
          </w:p>
        </w:tc>
        <w:tc>
          <w:tcPr>
            <w:tcW w:w="1655" w:type="dxa"/>
            <w:tcBorders>
              <w:top w:val="single" w:sz="4" w:space="0" w:color="auto"/>
              <w:left w:val="nil"/>
              <w:bottom w:val="nil"/>
              <w:right w:val="nil"/>
            </w:tcBorders>
            <w:shd w:val="clear" w:color="auto" w:fill="auto"/>
            <w:noWrap/>
            <w:hideMark/>
          </w:tcPr>
          <w:p w:rsidR="003A7606" w:rsidRPr="003A7606" w:rsidRDefault="003A7606" w:rsidP="000C1EA6">
            <w:pPr>
              <w:rPr>
                <w:rFonts w:eastAsia="Times New Roman" w:cs="Calibri"/>
                <w:color w:val="010205"/>
                <w:sz w:val="18"/>
                <w:szCs w:val="18"/>
                <w:lang w:eastAsia="cs-CZ"/>
              </w:rPr>
            </w:pPr>
            <w:r w:rsidRPr="003A7606">
              <w:rPr>
                <w:rFonts w:eastAsia="Times New Roman" w:cs="Calibri"/>
                <w:color w:val="010205"/>
                <w:sz w:val="18"/>
                <w:szCs w:val="18"/>
                <w:lang w:eastAsia="cs-CZ"/>
              </w:rPr>
              <w:t>Mean</w:t>
            </w:r>
          </w:p>
        </w:tc>
        <w:tc>
          <w:tcPr>
            <w:tcW w:w="1089" w:type="dxa"/>
            <w:tcBorders>
              <w:top w:val="single" w:sz="4" w:space="0" w:color="auto"/>
              <w:left w:val="nil"/>
              <w:bottom w:val="nil"/>
              <w:right w:val="nil"/>
            </w:tcBorders>
            <w:shd w:val="clear" w:color="auto" w:fill="auto"/>
            <w:noWrap/>
            <w:hideMark/>
          </w:tcPr>
          <w:p w:rsidR="003A7606" w:rsidRPr="003A7606" w:rsidRDefault="003A7606" w:rsidP="000C1EA6">
            <w:pPr>
              <w:rPr>
                <w:rFonts w:eastAsia="Times New Roman" w:cs="Calibri"/>
                <w:color w:val="010205"/>
                <w:sz w:val="18"/>
                <w:szCs w:val="18"/>
                <w:lang w:eastAsia="cs-CZ"/>
              </w:rPr>
            </w:pPr>
            <w:r w:rsidRPr="003A7606">
              <w:rPr>
                <w:rFonts w:eastAsia="Times New Roman" w:cs="Calibri"/>
                <w:color w:val="010205"/>
                <w:sz w:val="18"/>
                <w:szCs w:val="18"/>
                <w:lang w:eastAsia="cs-CZ"/>
              </w:rPr>
              <w:t>5,15</w:t>
            </w:r>
          </w:p>
        </w:tc>
        <w:tc>
          <w:tcPr>
            <w:tcW w:w="1152" w:type="dxa"/>
            <w:tcBorders>
              <w:top w:val="single" w:sz="4" w:space="0" w:color="auto"/>
              <w:left w:val="nil"/>
              <w:bottom w:val="nil"/>
              <w:right w:val="nil"/>
            </w:tcBorders>
            <w:shd w:val="clear" w:color="auto" w:fill="auto"/>
            <w:noWrap/>
            <w:hideMark/>
          </w:tcPr>
          <w:p w:rsidR="003A7606" w:rsidRPr="003A7606" w:rsidRDefault="003A7606" w:rsidP="000C1EA6">
            <w:pPr>
              <w:rPr>
                <w:rFonts w:eastAsia="Times New Roman" w:cs="Calibri"/>
                <w:color w:val="010205"/>
                <w:sz w:val="18"/>
                <w:szCs w:val="18"/>
                <w:lang w:eastAsia="cs-CZ"/>
              </w:rPr>
            </w:pPr>
            <w:r w:rsidRPr="003A7606">
              <w:rPr>
                <w:rFonts w:eastAsia="Times New Roman" w:cs="Calibri"/>
                <w:color w:val="010205"/>
                <w:sz w:val="18"/>
                <w:szCs w:val="18"/>
                <w:lang w:eastAsia="cs-CZ"/>
              </w:rPr>
              <w:t>-88,16</w:t>
            </w:r>
          </w:p>
        </w:tc>
        <w:tc>
          <w:tcPr>
            <w:tcW w:w="1194" w:type="dxa"/>
            <w:tcBorders>
              <w:top w:val="single" w:sz="4" w:space="0" w:color="auto"/>
              <w:left w:val="nil"/>
              <w:bottom w:val="nil"/>
              <w:right w:val="single" w:sz="4" w:space="0" w:color="auto"/>
            </w:tcBorders>
            <w:shd w:val="clear" w:color="auto" w:fill="auto"/>
            <w:noWrap/>
            <w:hideMark/>
          </w:tcPr>
          <w:p w:rsidR="003A7606" w:rsidRPr="003A7606" w:rsidRDefault="003A7606" w:rsidP="000C1EA6">
            <w:pPr>
              <w:rPr>
                <w:rFonts w:eastAsia="Times New Roman" w:cs="Calibri"/>
                <w:color w:val="010205"/>
                <w:sz w:val="18"/>
                <w:szCs w:val="18"/>
                <w:lang w:eastAsia="cs-CZ"/>
              </w:rPr>
            </w:pPr>
            <w:r w:rsidRPr="003A7606">
              <w:rPr>
                <w:rFonts w:eastAsia="Times New Roman" w:cs="Calibri"/>
                <w:color w:val="010205"/>
                <w:sz w:val="18"/>
                <w:szCs w:val="18"/>
                <w:lang w:eastAsia="cs-CZ"/>
              </w:rPr>
              <w:t>1,97</w:t>
            </w:r>
          </w:p>
        </w:tc>
      </w:tr>
      <w:tr w:rsidR="003A7606" w:rsidRPr="003A7606" w:rsidTr="00CF225B">
        <w:trPr>
          <w:trHeight w:val="170"/>
        </w:trPr>
        <w:tc>
          <w:tcPr>
            <w:tcW w:w="3982" w:type="dxa"/>
            <w:tcBorders>
              <w:top w:val="nil"/>
              <w:left w:val="single" w:sz="4" w:space="0" w:color="auto"/>
              <w:bottom w:val="nil"/>
              <w:right w:val="nil"/>
            </w:tcBorders>
            <w:shd w:val="clear" w:color="auto" w:fill="auto"/>
            <w:noWrap/>
            <w:vAlign w:val="bottom"/>
            <w:hideMark/>
          </w:tcPr>
          <w:p w:rsidR="003A7606" w:rsidRPr="003A7606" w:rsidRDefault="003A7606" w:rsidP="000C1EA6">
            <w:pPr>
              <w:rPr>
                <w:rFonts w:eastAsia="Times New Roman" w:cs="Calibri"/>
                <w:color w:val="000000"/>
                <w:lang w:eastAsia="cs-CZ"/>
              </w:rPr>
            </w:pPr>
            <w:r w:rsidRPr="003A7606">
              <w:rPr>
                <w:rFonts w:eastAsia="Times New Roman" w:cs="Calibri"/>
                <w:color w:val="000000"/>
                <w:lang w:eastAsia="cs-CZ"/>
              </w:rPr>
              <w:t> </w:t>
            </w:r>
          </w:p>
        </w:tc>
        <w:tc>
          <w:tcPr>
            <w:tcW w:w="1655" w:type="dxa"/>
            <w:tcBorders>
              <w:top w:val="single" w:sz="4" w:space="0" w:color="AEAEAE"/>
              <w:left w:val="nil"/>
              <w:bottom w:val="nil"/>
              <w:right w:val="nil"/>
            </w:tcBorders>
            <w:shd w:val="clear" w:color="auto" w:fill="auto"/>
            <w:noWrap/>
            <w:hideMark/>
          </w:tcPr>
          <w:p w:rsidR="003A7606" w:rsidRPr="00F93571" w:rsidRDefault="003A7606" w:rsidP="000C1EA6">
            <w:pPr>
              <w:rPr>
                <w:rFonts w:eastAsia="Times New Roman" w:cs="Calibri"/>
                <w:b/>
                <w:color w:val="010205"/>
                <w:sz w:val="18"/>
                <w:szCs w:val="18"/>
                <w:lang w:eastAsia="cs-CZ"/>
              </w:rPr>
            </w:pPr>
            <w:r w:rsidRPr="00F93571">
              <w:rPr>
                <w:rFonts w:eastAsia="Times New Roman" w:cs="Calibri"/>
                <w:b/>
                <w:color w:val="010205"/>
                <w:sz w:val="18"/>
                <w:szCs w:val="18"/>
                <w:lang w:eastAsia="cs-CZ"/>
              </w:rPr>
              <w:t>5% Trimmed Mean</w:t>
            </w:r>
          </w:p>
        </w:tc>
        <w:tc>
          <w:tcPr>
            <w:tcW w:w="1089" w:type="dxa"/>
            <w:tcBorders>
              <w:top w:val="single" w:sz="4" w:space="0" w:color="AEAEAE"/>
              <w:left w:val="nil"/>
              <w:bottom w:val="nil"/>
              <w:right w:val="nil"/>
            </w:tcBorders>
            <w:shd w:val="clear" w:color="auto" w:fill="auto"/>
            <w:noWrap/>
            <w:hideMark/>
          </w:tcPr>
          <w:p w:rsidR="003A7606" w:rsidRPr="00F93571" w:rsidRDefault="003A7606" w:rsidP="000C1EA6">
            <w:pPr>
              <w:rPr>
                <w:rFonts w:eastAsia="Times New Roman" w:cs="Calibri"/>
                <w:b/>
                <w:color w:val="FF0000"/>
                <w:sz w:val="18"/>
                <w:szCs w:val="18"/>
                <w:lang w:eastAsia="cs-CZ"/>
              </w:rPr>
            </w:pPr>
            <w:r w:rsidRPr="00F93571">
              <w:rPr>
                <w:rFonts w:eastAsia="Times New Roman" w:cs="Calibri"/>
                <w:b/>
                <w:color w:val="FF0000"/>
                <w:sz w:val="18"/>
                <w:szCs w:val="18"/>
                <w:lang w:eastAsia="cs-CZ"/>
              </w:rPr>
              <w:t>-0,33</w:t>
            </w:r>
          </w:p>
        </w:tc>
        <w:tc>
          <w:tcPr>
            <w:tcW w:w="1152" w:type="dxa"/>
            <w:tcBorders>
              <w:top w:val="single" w:sz="4" w:space="0" w:color="AEAEAE"/>
              <w:left w:val="nil"/>
              <w:bottom w:val="nil"/>
              <w:right w:val="nil"/>
            </w:tcBorders>
            <w:shd w:val="clear" w:color="auto" w:fill="auto"/>
            <w:noWrap/>
            <w:hideMark/>
          </w:tcPr>
          <w:p w:rsidR="003A7606" w:rsidRPr="00F93571" w:rsidRDefault="003A7606" w:rsidP="000C1EA6">
            <w:pPr>
              <w:rPr>
                <w:rFonts w:eastAsia="Times New Roman" w:cs="Calibri"/>
                <w:b/>
                <w:color w:val="FF0000"/>
                <w:sz w:val="18"/>
                <w:szCs w:val="18"/>
                <w:lang w:eastAsia="cs-CZ"/>
              </w:rPr>
            </w:pPr>
            <w:r w:rsidRPr="00F93571">
              <w:rPr>
                <w:rFonts w:eastAsia="Times New Roman" w:cs="Calibri"/>
                <w:b/>
                <w:color w:val="FF0000"/>
                <w:sz w:val="18"/>
                <w:szCs w:val="18"/>
                <w:lang w:eastAsia="cs-CZ"/>
              </w:rPr>
              <w:t>-0,09</w:t>
            </w:r>
          </w:p>
        </w:tc>
        <w:tc>
          <w:tcPr>
            <w:tcW w:w="1194" w:type="dxa"/>
            <w:tcBorders>
              <w:top w:val="single" w:sz="4" w:space="0" w:color="AEAEAE"/>
              <w:left w:val="nil"/>
              <w:bottom w:val="nil"/>
              <w:right w:val="single" w:sz="4" w:space="0" w:color="auto"/>
            </w:tcBorders>
            <w:shd w:val="clear" w:color="auto" w:fill="auto"/>
            <w:noWrap/>
            <w:hideMark/>
          </w:tcPr>
          <w:p w:rsidR="003A7606" w:rsidRPr="00F93571" w:rsidRDefault="003A7606" w:rsidP="000C1EA6">
            <w:pPr>
              <w:rPr>
                <w:rFonts w:eastAsia="Times New Roman" w:cs="Calibri"/>
                <w:b/>
                <w:color w:val="FF0000"/>
                <w:sz w:val="18"/>
                <w:szCs w:val="18"/>
                <w:lang w:eastAsia="cs-CZ"/>
              </w:rPr>
            </w:pPr>
            <w:r w:rsidRPr="00F93571">
              <w:rPr>
                <w:rFonts w:eastAsia="Times New Roman" w:cs="Calibri"/>
                <w:b/>
                <w:color w:val="FF0000"/>
                <w:sz w:val="18"/>
                <w:szCs w:val="18"/>
                <w:lang w:eastAsia="cs-CZ"/>
              </w:rPr>
              <w:t>-0,05</w:t>
            </w:r>
          </w:p>
        </w:tc>
      </w:tr>
      <w:tr w:rsidR="003A7606" w:rsidRPr="003A7606" w:rsidTr="00CF225B">
        <w:trPr>
          <w:trHeight w:val="170"/>
        </w:trPr>
        <w:tc>
          <w:tcPr>
            <w:tcW w:w="3982"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0C1EA6">
            <w:pPr>
              <w:rPr>
                <w:rFonts w:eastAsia="Times New Roman" w:cs="Calibri"/>
                <w:color w:val="000000"/>
                <w:lang w:eastAsia="cs-CZ"/>
              </w:rPr>
            </w:pPr>
            <w:r w:rsidRPr="003A7606">
              <w:rPr>
                <w:rFonts w:eastAsia="Times New Roman" w:cs="Calibri"/>
                <w:color w:val="000000"/>
                <w:lang w:eastAsia="cs-CZ"/>
              </w:rPr>
              <w:t> </w:t>
            </w:r>
          </w:p>
        </w:tc>
        <w:tc>
          <w:tcPr>
            <w:tcW w:w="1655" w:type="dxa"/>
            <w:tcBorders>
              <w:top w:val="single" w:sz="4" w:space="0" w:color="AEAEAE"/>
              <w:left w:val="nil"/>
              <w:bottom w:val="single" w:sz="4" w:space="0" w:color="auto"/>
              <w:right w:val="nil"/>
            </w:tcBorders>
            <w:shd w:val="clear" w:color="auto" w:fill="auto"/>
            <w:noWrap/>
            <w:hideMark/>
          </w:tcPr>
          <w:p w:rsidR="003A7606" w:rsidRPr="00F93571" w:rsidRDefault="003A7606" w:rsidP="000C1EA6">
            <w:pPr>
              <w:rPr>
                <w:rFonts w:eastAsia="Times New Roman" w:cs="Calibri"/>
                <w:b/>
                <w:color w:val="010205"/>
                <w:sz w:val="18"/>
                <w:szCs w:val="18"/>
                <w:lang w:eastAsia="cs-CZ"/>
              </w:rPr>
            </w:pPr>
            <w:r w:rsidRPr="00F93571">
              <w:rPr>
                <w:rFonts w:eastAsia="Times New Roman" w:cs="Calibri"/>
                <w:b/>
                <w:color w:val="010205"/>
                <w:sz w:val="18"/>
                <w:szCs w:val="18"/>
                <w:lang w:eastAsia="cs-CZ"/>
              </w:rPr>
              <w:t>Median</w:t>
            </w:r>
          </w:p>
        </w:tc>
        <w:tc>
          <w:tcPr>
            <w:tcW w:w="1089" w:type="dxa"/>
            <w:tcBorders>
              <w:top w:val="single" w:sz="4" w:space="0" w:color="AEAEAE"/>
              <w:left w:val="nil"/>
              <w:bottom w:val="single" w:sz="4" w:space="0" w:color="auto"/>
              <w:right w:val="nil"/>
            </w:tcBorders>
            <w:shd w:val="clear" w:color="auto" w:fill="auto"/>
            <w:noWrap/>
            <w:hideMark/>
          </w:tcPr>
          <w:p w:rsidR="003A7606" w:rsidRPr="00F93571" w:rsidRDefault="003A7606" w:rsidP="000C1EA6">
            <w:pPr>
              <w:rPr>
                <w:rFonts w:eastAsia="Times New Roman" w:cs="Calibri"/>
                <w:b/>
                <w:color w:val="FF0000"/>
                <w:sz w:val="18"/>
                <w:szCs w:val="18"/>
                <w:lang w:eastAsia="cs-CZ"/>
              </w:rPr>
            </w:pPr>
            <w:r w:rsidRPr="00F93571">
              <w:rPr>
                <w:rFonts w:eastAsia="Times New Roman" w:cs="Calibri"/>
                <w:b/>
                <w:color w:val="FF0000"/>
                <w:sz w:val="18"/>
                <w:szCs w:val="18"/>
                <w:lang w:eastAsia="cs-CZ"/>
              </w:rPr>
              <w:t>-0,13</w:t>
            </w:r>
          </w:p>
        </w:tc>
        <w:tc>
          <w:tcPr>
            <w:tcW w:w="1152" w:type="dxa"/>
            <w:tcBorders>
              <w:top w:val="single" w:sz="4" w:space="0" w:color="AEAEAE"/>
              <w:left w:val="nil"/>
              <w:bottom w:val="single" w:sz="4" w:space="0" w:color="auto"/>
              <w:right w:val="nil"/>
            </w:tcBorders>
            <w:shd w:val="clear" w:color="auto" w:fill="auto"/>
            <w:noWrap/>
            <w:hideMark/>
          </w:tcPr>
          <w:p w:rsidR="003A7606" w:rsidRPr="00F93571" w:rsidRDefault="003A7606" w:rsidP="000C1EA6">
            <w:pPr>
              <w:rPr>
                <w:rFonts w:eastAsia="Times New Roman" w:cs="Calibri"/>
                <w:b/>
                <w:color w:val="FF0000"/>
                <w:sz w:val="18"/>
                <w:szCs w:val="18"/>
                <w:lang w:eastAsia="cs-CZ"/>
              </w:rPr>
            </w:pPr>
            <w:r w:rsidRPr="00F93571">
              <w:rPr>
                <w:rFonts w:eastAsia="Times New Roman" w:cs="Calibri"/>
                <w:b/>
                <w:color w:val="FF0000"/>
                <w:sz w:val="18"/>
                <w:szCs w:val="18"/>
                <w:lang w:eastAsia="cs-CZ"/>
              </w:rPr>
              <w:t>-0,01</w:t>
            </w:r>
          </w:p>
        </w:tc>
        <w:tc>
          <w:tcPr>
            <w:tcW w:w="1194"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0C1EA6">
            <w:pPr>
              <w:rPr>
                <w:rFonts w:eastAsia="Times New Roman" w:cs="Calibri"/>
                <w:b/>
                <w:color w:val="010205"/>
                <w:sz w:val="18"/>
                <w:szCs w:val="18"/>
                <w:lang w:eastAsia="cs-CZ"/>
              </w:rPr>
            </w:pPr>
            <w:r w:rsidRPr="00F93571">
              <w:rPr>
                <w:rFonts w:eastAsia="Times New Roman" w:cs="Calibri"/>
                <w:b/>
                <w:color w:val="010205"/>
                <w:sz w:val="18"/>
                <w:szCs w:val="18"/>
                <w:lang w:eastAsia="cs-CZ"/>
              </w:rPr>
              <w:t>0,01</w:t>
            </w:r>
          </w:p>
        </w:tc>
      </w:tr>
    </w:tbl>
    <w:p w:rsidR="00B329D3" w:rsidRDefault="00B329D3" w:rsidP="00BF7426">
      <w:pPr>
        <w:rPr>
          <w:rFonts w:cs="Times New Roman"/>
          <w:szCs w:val="24"/>
        </w:rPr>
      </w:pPr>
      <w:r w:rsidRPr="00CB5C00">
        <w:rPr>
          <w:rFonts w:cs="Times New Roman"/>
          <w:szCs w:val="24"/>
        </w:rPr>
        <w:t>U všech úrovní marže je vidět (logicky) zhoršující se trend s blížícím se rokem zjištění úpadku. Kromě marže přidané hodnoty jsou všechny ostatní úrovně provozní marže záporné, a to již tři roky před úpadkem (vyjma některých hodnot mediánu, které jsou 3 roky před úpadkem blízké nule</w:t>
      </w:r>
      <w:r w:rsidR="009B0A0A" w:rsidRPr="00CB5C00">
        <w:rPr>
          <w:rFonts w:cs="Times New Roman"/>
          <w:szCs w:val="24"/>
        </w:rPr>
        <w:t>.</w:t>
      </w:r>
    </w:p>
    <w:p w:rsidR="00136B14" w:rsidRDefault="00136B14" w:rsidP="005A5A62">
      <w:pPr>
        <w:pStyle w:val="Nadpis4"/>
        <w:numPr>
          <w:ilvl w:val="3"/>
          <w:numId w:val="15"/>
        </w:numPr>
      </w:pPr>
      <w:r w:rsidRPr="00CB5C00">
        <w:t>Nákladovost</w:t>
      </w:r>
    </w:p>
    <w:p w:rsidR="0037729D" w:rsidRPr="0037729D" w:rsidRDefault="0037729D" w:rsidP="0037729D"/>
    <w:p w:rsidR="00B67E2E" w:rsidRDefault="00B67E2E" w:rsidP="00B67E2E">
      <w:pPr>
        <w:pStyle w:val="Titulek"/>
        <w:keepNext/>
      </w:pPr>
      <w:bookmarkStart w:id="108" w:name="_Toc31054813"/>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37</w:t>
      </w:r>
      <w:r w:rsidR="00163A91">
        <w:rPr>
          <w:noProof/>
        </w:rPr>
        <w:fldChar w:fldCharType="end"/>
      </w:r>
      <w:r>
        <w:t xml:space="preserve"> Nákladovost</w:t>
      </w:r>
      <w:bookmarkEnd w:id="108"/>
    </w:p>
    <w:tbl>
      <w:tblPr>
        <w:tblW w:w="9072" w:type="dxa"/>
        <w:tblCellMar>
          <w:left w:w="70" w:type="dxa"/>
          <w:right w:w="70" w:type="dxa"/>
        </w:tblCellMar>
        <w:tblLook w:val="04A0"/>
      </w:tblPr>
      <w:tblGrid>
        <w:gridCol w:w="3982"/>
        <w:gridCol w:w="1655"/>
        <w:gridCol w:w="1089"/>
        <w:gridCol w:w="1152"/>
        <w:gridCol w:w="1194"/>
      </w:tblGrid>
      <w:tr w:rsidR="003A7606" w:rsidRPr="00CB5C00" w:rsidTr="00B67E2E">
        <w:trPr>
          <w:trHeight w:val="170"/>
        </w:trPr>
        <w:tc>
          <w:tcPr>
            <w:tcW w:w="3982" w:type="dxa"/>
            <w:tcBorders>
              <w:top w:val="single" w:sz="4" w:space="0" w:color="auto"/>
              <w:left w:val="single" w:sz="4" w:space="0" w:color="auto"/>
              <w:bottom w:val="single" w:sz="4" w:space="0" w:color="auto"/>
              <w:right w:val="nil"/>
            </w:tcBorders>
            <w:shd w:val="clear" w:color="auto" w:fill="auto"/>
            <w:noWrap/>
            <w:vAlign w:val="bottom"/>
            <w:hideMark/>
          </w:tcPr>
          <w:p w:rsidR="003A7606" w:rsidRPr="00B869A3" w:rsidRDefault="003A7606" w:rsidP="000C1EA6">
            <w:pPr>
              <w:rPr>
                <w:sz w:val="20"/>
                <w:szCs w:val="20"/>
                <w:lang w:eastAsia="cs-CZ"/>
              </w:rPr>
            </w:pPr>
            <w:r w:rsidRPr="00B869A3">
              <w:rPr>
                <w:sz w:val="20"/>
                <w:szCs w:val="20"/>
                <w:lang w:eastAsia="cs-CZ"/>
              </w:rPr>
              <w:t> </w:t>
            </w:r>
          </w:p>
        </w:tc>
        <w:tc>
          <w:tcPr>
            <w:tcW w:w="1655" w:type="dxa"/>
            <w:tcBorders>
              <w:top w:val="single" w:sz="4" w:space="0" w:color="auto"/>
              <w:left w:val="nil"/>
              <w:bottom w:val="single" w:sz="4" w:space="0" w:color="auto"/>
              <w:right w:val="nil"/>
            </w:tcBorders>
            <w:shd w:val="clear" w:color="auto" w:fill="auto"/>
            <w:noWrap/>
            <w:vAlign w:val="bottom"/>
            <w:hideMark/>
          </w:tcPr>
          <w:p w:rsidR="003A7606" w:rsidRPr="00B869A3" w:rsidRDefault="003A7606" w:rsidP="000C1EA6">
            <w:pPr>
              <w:rPr>
                <w:sz w:val="20"/>
                <w:szCs w:val="20"/>
                <w:lang w:eastAsia="cs-CZ"/>
              </w:rPr>
            </w:pPr>
            <w:r w:rsidRPr="00B869A3">
              <w:rPr>
                <w:sz w:val="20"/>
                <w:szCs w:val="20"/>
                <w:lang w:eastAsia="cs-CZ"/>
              </w:rPr>
              <w:t> </w:t>
            </w:r>
          </w:p>
        </w:tc>
        <w:tc>
          <w:tcPr>
            <w:tcW w:w="1089" w:type="dxa"/>
            <w:tcBorders>
              <w:top w:val="single" w:sz="4" w:space="0" w:color="auto"/>
              <w:left w:val="nil"/>
              <w:bottom w:val="single" w:sz="4" w:space="0" w:color="auto"/>
              <w:right w:val="nil"/>
            </w:tcBorders>
            <w:shd w:val="clear" w:color="auto" w:fill="auto"/>
            <w:vAlign w:val="bottom"/>
            <w:hideMark/>
          </w:tcPr>
          <w:p w:rsidR="003A7606" w:rsidRPr="00B869A3" w:rsidRDefault="003A7606" w:rsidP="000C1EA6">
            <w:pPr>
              <w:rPr>
                <w:color w:val="264A60"/>
                <w:sz w:val="20"/>
                <w:szCs w:val="20"/>
                <w:lang w:eastAsia="cs-CZ"/>
              </w:rPr>
            </w:pPr>
            <w:r w:rsidRPr="00B869A3">
              <w:rPr>
                <w:color w:val="264A60"/>
                <w:sz w:val="20"/>
                <w:szCs w:val="20"/>
                <w:lang w:eastAsia="cs-CZ"/>
              </w:rPr>
              <w:t>1 rok před úpadkem</w:t>
            </w:r>
          </w:p>
        </w:tc>
        <w:tc>
          <w:tcPr>
            <w:tcW w:w="1152" w:type="dxa"/>
            <w:tcBorders>
              <w:top w:val="single" w:sz="4" w:space="0" w:color="auto"/>
              <w:left w:val="nil"/>
              <w:bottom w:val="single" w:sz="4" w:space="0" w:color="auto"/>
              <w:right w:val="nil"/>
            </w:tcBorders>
            <w:shd w:val="clear" w:color="auto" w:fill="auto"/>
            <w:vAlign w:val="bottom"/>
            <w:hideMark/>
          </w:tcPr>
          <w:p w:rsidR="003A7606" w:rsidRPr="00B869A3" w:rsidRDefault="003A7606" w:rsidP="000C1EA6">
            <w:pPr>
              <w:rPr>
                <w:color w:val="264A60"/>
                <w:sz w:val="20"/>
                <w:szCs w:val="20"/>
                <w:lang w:eastAsia="cs-CZ"/>
              </w:rPr>
            </w:pPr>
            <w:r w:rsidRPr="00B869A3">
              <w:rPr>
                <w:color w:val="264A60"/>
                <w:sz w:val="20"/>
                <w:szCs w:val="20"/>
                <w:lang w:eastAsia="cs-CZ"/>
              </w:rPr>
              <w:t>2 roky před úpadkem</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3A7606" w:rsidRPr="00B869A3" w:rsidRDefault="003A7606" w:rsidP="000C1EA6">
            <w:pPr>
              <w:rPr>
                <w:color w:val="264A60"/>
                <w:sz w:val="20"/>
                <w:szCs w:val="20"/>
                <w:lang w:eastAsia="cs-CZ"/>
              </w:rPr>
            </w:pPr>
            <w:r w:rsidRPr="00B869A3">
              <w:rPr>
                <w:color w:val="264A60"/>
                <w:sz w:val="20"/>
                <w:szCs w:val="20"/>
                <w:lang w:eastAsia="cs-CZ"/>
              </w:rPr>
              <w:t>3 roky před úpadkem</w:t>
            </w:r>
          </w:p>
        </w:tc>
      </w:tr>
      <w:tr w:rsidR="003A7606" w:rsidRPr="00CB5C00" w:rsidTr="00B67E2E">
        <w:trPr>
          <w:trHeight w:val="170"/>
        </w:trPr>
        <w:tc>
          <w:tcPr>
            <w:tcW w:w="3982" w:type="dxa"/>
            <w:tcBorders>
              <w:top w:val="nil"/>
              <w:left w:val="single" w:sz="4" w:space="0" w:color="auto"/>
              <w:bottom w:val="nil"/>
              <w:right w:val="nil"/>
            </w:tcBorders>
            <w:shd w:val="clear" w:color="auto" w:fill="auto"/>
            <w:noWrap/>
            <w:hideMark/>
          </w:tcPr>
          <w:p w:rsidR="003A7606" w:rsidRPr="00B869A3" w:rsidRDefault="003A7606" w:rsidP="000C1EA6">
            <w:pPr>
              <w:rPr>
                <w:color w:val="010205"/>
                <w:sz w:val="20"/>
                <w:szCs w:val="20"/>
                <w:lang w:eastAsia="cs-CZ"/>
              </w:rPr>
            </w:pPr>
            <w:r w:rsidRPr="00B869A3">
              <w:rPr>
                <w:color w:val="010205"/>
                <w:sz w:val="20"/>
                <w:szCs w:val="20"/>
                <w:lang w:eastAsia="cs-CZ"/>
              </w:rPr>
              <w:t>Podíl výkonové spotřeby na výkonech</w:t>
            </w:r>
          </w:p>
        </w:tc>
        <w:tc>
          <w:tcPr>
            <w:tcW w:w="1655" w:type="dxa"/>
            <w:tcBorders>
              <w:top w:val="nil"/>
              <w:left w:val="nil"/>
              <w:bottom w:val="nil"/>
              <w:right w:val="nil"/>
            </w:tcBorders>
            <w:shd w:val="clear" w:color="auto" w:fill="auto"/>
            <w:noWrap/>
            <w:hideMark/>
          </w:tcPr>
          <w:p w:rsidR="003A7606" w:rsidRPr="00B869A3" w:rsidRDefault="003A7606" w:rsidP="000C1EA6">
            <w:pPr>
              <w:rPr>
                <w:color w:val="010205"/>
                <w:sz w:val="20"/>
                <w:szCs w:val="20"/>
                <w:lang w:eastAsia="cs-CZ"/>
              </w:rPr>
            </w:pPr>
            <w:r w:rsidRPr="00B869A3">
              <w:rPr>
                <w:color w:val="010205"/>
                <w:sz w:val="20"/>
                <w:szCs w:val="20"/>
                <w:lang w:eastAsia="cs-CZ"/>
              </w:rPr>
              <w:t>Mean</w:t>
            </w:r>
          </w:p>
        </w:tc>
        <w:tc>
          <w:tcPr>
            <w:tcW w:w="1089" w:type="dxa"/>
            <w:tcBorders>
              <w:top w:val="nil"/>
              <w:left w:val="nil"/>
              <w:bottom w:val="nil"/>
              <w:right w:val="nil"/>
            </w:tcBorders>
            <w:shd w:val="clear" w:color="auto" w:fill="auto"/>
            <w:noWrap/>
            <w:hideMark/>
          </w:tcPr>
          <w:p w:rsidR="003A7606" w:rsidRPr="00B869A3" w:rsidRDefault="003A7606" w:rsidP="000C1EA6">
            <w:pPr>
              <w:rPr>
                <w:color w:val="010205"/>
                <w:sz w:val="20"/>
                <w:szCs w:val="20"/>
                <w:lang w:eastAsia="cs-CZ"/>
              </w:rPr>
            </w:pPr>
            <w:r w:rsidRPr="00B869A3">
              <w:rPr>
                <w:color w:val="010205"/>
                <w:sz w:val="20"/>
                <w:szCs w:val="20"/>
                <w:lang w:eastAsia="cs-CZ"/>
              </w:rPr>
              <w:t>1,73</w:t>
            </w:r>
          </w:p>
        </w:tc>
        <w:tc>
          <w:tcPr>
            <w:tcW w:w="1152" w:type="dxa"/>
            <w:tcBorders>
              <w:top w:val="nil"/>
              <w:left w:val="nil"/>
              <w:bottom w:val="nil"/>
              <w:right w:val="nil"/>
            </w:tcBorders>
            <w:shd w:val="clear" w:color="auto" w:fill="auto"/>
            <w:noWrap/>
            <w:hideMark/>
          </w:tcPr>
          <w:p w:rsidR="003A7606" w:rsidRPr="00B869A3" w:rsidRDefault="003A7606" w:rsidP="000C1EA6">
            <w:pPr>
              <w:rPr>
                <w:color w:val="010205"/>
                <w:sz w:val="20"/>
                <w:szCs w:val="20"/>
                <w:lang w:eastAsia="cs-CZ"/>
              </w:rPr>
            </w:pPr>
            <w:r w:rsidRPr="00B869A3">
              <w:rPr>
                <w:color w:val="010205"/>
                <w:sz w:val="20"/>
                <w:szCs w:val="20"/>
                <w:lang w:eastAsia="cs-CZ"/>
              </w:rPr>
              <w:t>30,33</w:t>
            </w:r>
          </w:p>
        </w:tc>
        <w:tc>
          <w:tcPr>
            <w:tcW w:w="1194" w:type="dxa"/>
            <w:tcBorders>
              <w:top w:val="nil"/>
              <w:left w:val="nil"/>
              <w:bottom w:val="nil"/>
              <w:right w:val="single" w:sz="4" w:space="0" w:color="auto"/>
            </w:tcBorders>
            <w:shd w:val="clear" w:color="auto" w:fill="auto"/>
            <w:noWrap/>
            <w:hideMark/>
          </w:tcPr>
          <w:p w:rsidR="003A7606" w:rsidRPr="00B869A3" w:rsidRDefault="003A7606" w:rsidP="000C1EA6">
            <w:pPr>
              <w:rPr>
                <w:color w:val="010205"/>
                <w:sz w:val="20"/>
                <w:szCs w:val="20"/>
                <w:lang w:eastAsia="cs-CZ"/>
              </w:rPr>
            </w:pPr>
            <w:r w:rsidRPr="00B869A3">
              <w:rPr>
                <w:color w:val="010205"/>
                <w:sz w:val="20"/>
                <w:szCs w:val="20"/>
                <w:lang w:eastAsia="cs-CZ"/>
              </w:rPr>
              <w:t>2,19</w:t>
            </w:r>
          </w:p>
        </w:tc>
      </w:tr>
      <w:tr w:rsidR="003A7606" w:rsidRPr="00CB5C00" w:rsidTr="00B67E2E">
        <w:trPr>
          <w:trHeight w:val="170"/>
        </w:trPr>
        <w:tc>
          <w:tcPr>
            <w:tcW w:w="3982" w:type="dxa"/>
            <w:tcBorders>
              <w:top w:val="nil"/>
              <w:left w:val="single" w:sz="4" w:space="0" w:color="auto"/>
              <w:bottom w:val="nil"/>
              <w:right w:val="nil"/>
            </w:tcBorders>
            <w:shd w:val="clear" w:color="auto" w:fill="auto"/>
            <w:noWrap/>
            <w:vAlign w:val="bottom"/>
            <w:hideMark/>
          </w:tcPr>
          <w:p w:rsidR="003A7606" w:rsidRPr="00B869A3" w:rsidRDefault="003A7606" w:rsidP="000C1EA6">
            <w:pPr>
              <w:rPr>
                <w:sz w:val="20"/>
                <w:szCs w:val="20"/>
                <w:lang w:eastAsia="cs-CZ"/>
              </w:rPr>
            </w:pPr>
            <w:r w:rsidRPr="00B869A3">
              <w:rPr>
                <w:sz w:val="20"/>
                <w:szCs w:val="20"/>
                <w:lang w:eastAsia="cs-CZ"/>
              </w:rPr>
              <w:t> </w:t>
            </w:r>
          </w:p>
        </w:tc>
        <w:tc>
          <w:tcPr>
            <w:tcW w:w="1655" w:type="dxa"/>
            <w:tcBorders>
              <w:top w:val="single" w:sz="4" w:space="0" w:color="AEAEAE"/>
              <w:left w:val="nil"/>
              <w:bottom w:val="nil"/>
              <w:right w:val="nil"/>
            </w:tcBorders>
            <w:shd w:val="clear" w:color="auto" w:fill="auto"/>
            <w:noWrap/>
            <w:hideMark/>
          </w:tcPr>
          <w:p w:rsidR="003A7606" w:rsidRPr="00B869A3" w:rsidRDefault="003A7606" w:rsidP="000C1EA6">
            <w:pPr>
              <w:rPr>
                <w:b/>
                <w:color w:val="010205"/>
                <w:sz w:val="20"/>
                <w:szCs w:val="20"/>
                <w:lang w:eastAsia="cs-CZ"/>
              </w:rPr>
            </w:pPr>
            <w:r w:rsidRPr="00B869A3">
              <w:rPr>
                <w:b/>
                <w:color w:val="010205"/>
                <w:sz w:val="20"/>
                <w:szCs w:val="20"/>
                <w:lang w:eastAsia="cs-CZ"/>
              </w:rPr>
              <w:t>5% Trimmed Mean</w:t>
            </w:r>
          </w:p>
        </w:tc>
        <w:tc>
          <w:tcPr>
            <w:tcW w:w="1089" w:type="dxa"/>
            <w:tcBorders>
              <w:top w:val="single" w:sz="4" w:space="0" w:color="AEAEAE"/>
              <w:left w:val="nil"/>
              <w:bottom w:val="nil"/>
              <w:right w:val="nil"/>
            </w:tcBorders>
            <w:shd w:val="clear" w:color="auto" w:fill="auto"/>
            <w:noWrap/>
            <w:hideMark/>
          </w:tcPr>
          <w:p w:rsidR="003A7606" w:rsidRPr="00B869A3" w:rsidRDefault="003A7606" w:rsidP="000C1EA6">
            <w:pPr>
              <w:rPr>
                <w:b/>
                <w:color w:val="010205"/>
                <w:sz w:val="20"/>
                <w:szCs w:val="20"/>
                <w:lang w:eastAsia="cs-CZ"/>
              </w:rPr>
            </w:pPr>
            <w:r w:rsidRPr="00B869A3">
              <w:rPr>
                <w:b/>
                <w:color w:val="010205"/>
                <w:sz w:val="20"/>
                <w:szCs w:val="20"/>
                <w:lang w:eastAsia="cs-CZ"/>
              </w:rPr>
              <w:t>0,91</w:t>
            </w:r>
          </w:p>
        </w:tc>
        <w:tc>
          <w:tcPr>
            <w:tcW w:w="1152" w:type="dxa"/>
            <w:tcBorders>
              <w:top w:val="single" w:sz="4" w:space="0" w:color="AEAEAE"/>
              <w:left w:val="nil"/>
              <w:bottom w:val="nil"/>
              <w:right w:val="nil"/>
            </w:tcBorders>
            <w:shd w:val="clear" w:color="auto" w:fill="auto"/>
            <w:noWrap/>
            <w:hideMark/>
          </w:tcPr>
          <w:p w:rsidR="003A7606" w:rsidRPr="00B869A3" w:rsidRDefault="003A7606" w:rsidP="000C1EA6">
            <w:pPr>
              <w:rPr>
                <w:b/>
                <w:color w:val="010205"/>
                <w:sz w:val="20"/>
                <w:szCs w:val="20"/>
                <w:lang w:eastAsia="cs-CZ"/>
              </w:rPr>
            </w:pPr>
            <w:r w:rsidRPr="00B869A3">
              <w:rPr>
                <w:b/>
                <w:color w:val="010205"/>
                <w:sz w:val="20"/>
                <w:szCs w:val="20"/>
                <w:lang w:eastAsia="cs-CZ"/>
              </w:rPr>
              <w:t>0,79</w:t>
            </w:r>
          </w:p>
        </w:tc>
        <w:tc>
          <w:tcPr>
            <w:tcW w:w="1194" w:type="dxa"/>
            <w:tcBorders>
              <w:top w:val="single" w:sz="4" w:space="0" w:color="AEAEAE"/>
              <w:left w:val="nil"/>
              <w:bottom w:val="nil"/>
              <w:right w:val="single" w:sz="4" w:space="0" w:color="auto"/>
            </w:tcBorders>
            <w:shd w:val="clear" w:color="auto" w:fill="auto"/>
            <w:noWrap/>
            <w:hideMark/>
          </w:tcPr>
          <w:p w:rsidR="003A7606" w:rsidRPr="00B869A3" w:rsidRDefault="003A7606" w:rsidP="000C1EA6">
            <w:pPr>
              <w:rPr>
                <w:b/>
                <w:color w:val="010205"/>
                <w:sz w:val="20"/>
                <w:szCs w:val="20"/>
                <w:lang w:eastAsia="cs-CZ"/>
              </w:rPr>
            </w:pPr>
            <w:r w:rsidRPr="00B869A3">
              <w:rPr>
                <w:b/>
                <w:color w:val="010205"/>
                <w:sz w:val="20"/>
                <w:szCs w:val="20"/>
                <w:lang w:eastAsia="cs-CZ"/>
              </w:rPr>
              <w:t>0,79</w:t>
            </w:r>
          </w:p>
        </w:tc>
      </w:tr>
      <w:tr w:rsidR="003A7606" w:rsidRPr="00CB5C00" w:rsidTr="00B67E2E">
        <w:trPr>
          <w:trHeight w:val="170"/>
        </w:trPr>
        <w:tc>
          <w:tcPr>
            <w:tcW w:w="3982" w:type="dxa"/>
            <w:tcBorders>
              <w:top w:val="nil"/>
              <w:left w:val="single" w:sz="4" w:space="0" w:color="auto"/>
              <w:bottom w:val="single" w:sz="4" w:space="0" w:color="auto"/>
              <w:right w:val="nil"/>
            </w:tcBorders>
            <w:shd w:val="clear" w:color="auto" w:fill="auto"/>
            <w:noWrap/>
            <w:vAlign w:val="bottom"/>
            <w:hideMark/>
          </w:tcPr>
          <w:p w:rsidR="003A7606" w:rsidRPr="00B869A3" w:rsidRDefault="003A7606" w:rsidP="000C1EA6">
            <w:pPr>
              <w:rPr>
                <w:sz w:val="20"/>
                <w:szCs w:val="20"/>
                <w:lang w:eastAsia="cs-CZ"/>
              </w:rPr>
            </w:pPr>
            <w:r w:rsidRPr="00B869A3">
              <w:rPr>
                <w:sz w:val="20"/>
                <w:szCs w:val="20"/>
                <w:lang w:eastAsia="cs-CZ"/>
              </w:rPr>
              <w:t> </w:t>
            </w:r>
          </w:p>
        </w:tc>
        <w:tc>
          <w:tcPr>
            <w:tcW w:w="1655" w:type="dxa"/>
            <w:tcBorders>
              <w:top w:val="single" w:sz="4" w:space="0" w:color="AEAEAE"/>
              <w:left w:val="nil"/>
              <w:bottom w:val="single" w:sz="4" w:space="0" w:color="auto"/>
              <w:right w:val="nil"/>
            </w:tcBorders>
            <w:shd w:val="clear" w:color="auto" w:fill="auto"/>
            <w:noWrap/>
            <w:hideMark/>
          </w:tcPr>
          <w:p w:rsidR="003A7606" w:rsidRPr="00B869A3" w:rsidRDefault="003A7606" w:rsidP="000C1EA6">
            <w:pPr>
              <w:rPr>
                <w:b/>
                <w:color w:val="010205"/>
                <w:sz w:val="20"/>
                <w:szCs w:val="20"/>
                <w:lang w:eastAsia="cs-CZ"/>
              </w:rPr>
            </w:pPr>
            <w:r w:rsidRPr="00B869A3">
              <w:rPr>
                <w:b/>
                <w:color w:val="010205"/>
                <w:sz w:val="20"/>
                <w:szCs w:val="20"/>
                <w:lang w:eastAsia="cs-CZ"/>
              </w:rPr>
              <w:t>Median</w:t>
            </w:r>
          </w:p>
        </w:tc>
        <w:tc>
          <w:tcPr>
            <w:tcW w:w="1089" w:type="dxa"/>
            <w:tcBorders>
              <w:top w:val="single" w:sz="4" w:space="0" w:color="AEAEAE"/>
              <w:left w:val="nil"/>
              <w:bottom w:val="single" w:sz="4" w:space="0" w:color="auto"/>
              <w:right w:val="nil"/>
            </w:tcBorders>
            <w:shd w:val="clear" w:color="auto" w:fill="auto"/>
            <w:noWrap/>
            <w:hideMark/>
          </w:tcPr>
          <w:p w:rsidR="003A7606" w:rsidRPr="00B869A3" w:rsidRDefault="003A7606" w:rsidP="000C1EA6">
            <w:pPr>
              <w:rPr>
                <w:b/>
                <w:color w:val="010205"/>
                <w:sz w:val="20"/>
                <w:szCs w:val="20"/>
                <w:lang w:eastAsia="cs-CZ"/>
              </w:rPr>
            </w:pPr>
            <w:r w:rsidRPr="00B869A3">
              <w:rPr>
                <w:b/>
                <w:color w:val="010205"/>
                <w:sz w:val="20"/>
                <w:szCs w:val="20"/>
                <w:lang w:eastAsia="cs-CZ"/>
              </w:rPr>
              <w:t>0,84</w:t>
            </w:r>
          </w:p>
        </w:tc>
        <w:tc>
          <w:tcPr>
            <w:tcW w:w="1152" w:type="dxa"/>
            <w:tcBorders>
              <w:top w:val="single" w:sz="4" w:space="0" w:color="AEAEAE"/>
              <w:left w:val="nil"/>
              <w:bottom w:val="single" w:sz="4" w:space="0" w:color="auto"/>
              <w:right w:val="nil"/>
            </w:tcBorders>
            <w:shd w:val="clear" w:color="auto" w:fill="auto"/>
            <w:noWrap/>
            <w:hideMark/>
          </w:tcPr>
          <w:p w:rsidR="003A7606" w:rsidRPr="00B869A3" w:rsidRDefault="003A7606" w:rsidP="000C1EA6">
            <w:pPr>
              <w:rPr>
                <w:b/>
                <w:color w:val="010205"/>
                <w:sz w:val="20"/>
                <w:szCs w:val="20"/>
                <w:lang w:eastAsia="cs-CZ"/>
              </w:rPr>
            </w:pPr>
            <w:r w:rsidRPr="00B869A3">
              <w:rPr>
                <w:b/>
                <w:color w:val="010205"/>
                <w:sz w:val="20"/>
                <w:szCs w:val="20"/>
                <w:lang w:eastAsia="cs-CZ"/>
              </w:rPr>
              <w:t>0,79</w:t>
            </w:r>
          </w:p>
        </w:tc>
        <w:tc>
          <w:tcPr>
            <w:tcW w:w="1194" w:type="dxa"/>
            <w:tcBorders>
              <w:top w:val="single" w:sz="4" w:space="0" w:color="AEAEAE"/>
              <w:left w:val="nil"/>
              <w:bottom w:val="single" w:sz="4" w:space="0" w:color="auto"/>
              <w:right w:val="single" w:sz="4" w:space="0" w:color="auto"/>
            </w:tcBorders>
            <w:shd w:val="clear" w:color="auto" w:fill="auto"/>
            <w:noWrap/>
            <w:hideMark/>
          </w:tcPr>
          <w:p w:rsidR="003A7606" w:rsidRPr="00B869A3" w:rsidRDefault="003A7606" w:rsidP="000C1EA6">
            <w:pPr>
              <w:rPr>
                <w:b/>
                <w:color w:val="010205"/>
                <w:sz w:val="20"/>
                <w:szCs w:val="20"/>
                <w:lang w:eastAsia="cs-CZ"/>
              </w:rPr>
            </w:pPr>
            <w:r w:rsidRPr="00B869A3">
              <w:rPr>
                <w:b/>
                <w:color w:val="010205"/>
                <w:sz w:val="20"/>
                <w:szCs w:val="20"/>
                <w:lang w:eastAsia="cs-CZ"/>
              </w:rPr>
              <w:t>0,81</w:t>
            </w:r>
          </w:p>
        </w:tc>
      </w:tr>
      <w:tr w:rsidR="003A7606" w:rsidRPr="00CB5C00" w:rsidTr="00B67E2E">
        <w:trPr>
          <w:trHeight w:val="170"/>
        </w:trPr>
        <w:tc>
          <w:tcPr>
            <w:tcW w:w="3982" w:type="dxa"/>
            <w:tcBorders>
              <w:top w:val="single" w:sz="4" w:space="0" w:color="auto"/>
              <w:left w:val="single" w:sz="4" w:space="0" w:color="auto"/>
              <w:bottom w:val="nil"/>
              <w:right w:val="nil"/>
            </w:tcBorders>
            <w:shd w:val="clear" w:color="auto" w:fill="auto"/>
            <w:noWrap/>
            <w:hideMark/>
          </w:tcPr>
          <w:p w:rsidR="003A7606" w:rsidRPr="00B869A3" w:rsidRDefault="003A7606" w:rsidP="000C1EA6">
            <w:pPr>
              <w:rPr>
                <w:color w:val="010205"/>
                <w:sz w:val="20"/>
                <w:szCs w:val="20"/>
                <w:lang w:eastAsia="cs-CZ"/>
              </w:rPr>
            </w:pPr>
            <w:r w:rsidRPr="00B869A3">
              <w:rPr>
                <w:color w:val="010205"/>
                <w:sz w:val="20"/>
                <w:szCs w:val="20"/>
                <w:lang w:eastAsia="cs-CZ"/>
              </w:rPr>
              <w:t>Podíl osobních nákladů na výkonech</w:t>
            </w:r>
          </w:p>
        </w:tc>
        <w:tc>
          <w:tcPr>
            <w:tcW w:w="1655" w:type="dxa"/>
            <w:tcBorders>
              <w:top w:val="single" w:sz="4" w:space="0" w:color="auto"/>
              <w:left w:val="nil"/>
              <w:bottom w:val="nil"/>
              <w:right w:val="nil"/>
            </w:tcBorders>
            <w:shd w:val="clear" w:color="auto" w:fill="auto"/>
            <w:noWrap/>
            <w:hideMark/>
          </w:tcPr>
          <w:p w:rsidR="003A7606" w:rsidRPr="00B869A3" w:rsidRDefault="003A7606" w:rsidP="000C1EA6">
            <w:pPr>
              <w:rPr>
                <w:color w:val="010205"/>
                <w:sz w:val="20"/>
                <w:szCs w:val="20"/>
                <w:lang w:eastAsia="cs-CZ"/>
              </w:rPr>
            </w:pPr>
            <w:r w:rsidRPr="00B869A3">
              <w:rPr>
                <w:color w:val="010205"/>
                <w:sz w:val="20"/>
                <w:szCs w:val="20"/>
                <w:lang w:eastAsia="cs-CZ"/>
              </w:rPr>
              <w:t>Mean</w:t>
            </w:r>
          </w:p>
        </w:tc>
        <w:tc>
          <w:tcPr>
            <w:tcW w:w="1089" w:type="dxa"/>
            <w:tcBorders>
              <w:top w:val="single" w:sz="4" w:space="0" w:color="auto"/>
              <w:left w:val="nil"/>
              <w:bottom w:val="nil"/>
              <w:right w:val="nil"/>
            </w:tcBorders>
            <w:shd w:val="clear" w:color="auto" w:fill="auto"/>
            <w:noWrap/>
            <w:hideMark/>
          </w:tcPr>
          <w:p w:rsidR="003A7606" w:rsidRPr="00B869A3" w:rsidRDefault="003A7606" w:rsidP="000C1EA6">
            <w:pPr>
              <w:rPr>
                <w:color w:val="010205"/>
                <w:sz w:val="20"/>
                <w:szCs w:val="20"/>
                <w:lang w:eastAsia="cs-CZ"/>
              </w:rPr>
            </w:pPr>
            <w:r w:rsidRPr="00B869A3">
              <w:rPr>
                <w:color w:val="010205"/>
                <w:sz w:val="20"/>
                <w:szCs w:val="20"/>
                <w:lang w:eastAsia="cs-CZ"/>
              </w:rPr>
              <w:t>1,27</w:t>
            </w:r>
          </w:p>
        </w:tc>
        <w:tc>
          <w:tcPr>
            <w:tcW w:w="1152" w:type="dxa"/>
            <w:tcBorders>
              <w:top w:val="single" w:sz="4" w:space="0" w:color="auto"/>
              <w:left w:val="nil"/>
              <w:bottom w:val="nil"/>
              <w:right w:val="nil"/>
            </w:tcBorders>
            <w:shd w:val="clear" w:color="auto" w:fill="auto"/>
            <w:noWrap/>
            <w:hideMark/>
          </w:tcPr>
          <w:p w:rsidR="003A7606" w:rsidRPr="00B869A3" w:rsidRDefault="003A7606" w:rsidP="000C1EA6">
            <w:pPr>
              <w:rPr>
                <w:color w:val="010205"/>
                <w:sz w:val="20"/>
                <w:szCs w:val="20"/>
                <w:lang w:eastAsia="cs-CZ"/>
              </w:rPr>
            </w:pPr>
            <w:r w:rsidRPr="00B869A3">
              <w:rPr>
                <w:color w:val="010205"/>
                <w:sz w:val="20"/>
                <w:szCs w:val="20"/>
                <w:lang w:eastAsia="cs-CZ"/>
              </w:rPr>
              <w:t>15,57</w:t>
            </w:r>
          </w:p>
        </w:tc>
        <w:tc>
          <w:tcPr>
            <w:tcW w:w="1194" w:type="dxa"/>
            <w:tcBorders>
              <w:top w:val="single" w:sz="4" w:space="0" w:color="auto"/>
              <w:left w:val="nil"/>
              <w:bottom w:val="nil"/>
              <w:right w:val="single" w:sz="4" w:space="0" w:color="auto"/>
            </w:tcBorders>
            <w:shd w:val="clear" w:color="auto" w:fill="auto"/>
            <w:noWrap/>
            <w:hideMark/>
          </w:tcPr>
          <w:p w:rsidR="003A7606" w:rsidRPr="00B869A3" w:rsidRDefault="003A7606" w:rsidP="000C1EA6">
            <w:pPr>
              <w:rPr>
                <w:color w:val="010205"/>
                <w:sz w:val="20"/>
                <w:szCs w:val="20"/>
                <w:lang w:eastAsia="cs-CZ"/>
              </w:rPr>
            </w:pPr>
            <w:r w:rsidRPr="00B869A3">
              <w:rPr>
                <w:color w:val="010205"/>
                <w:sz w:val="20"/>
                <w:szCs w:val="20"/>
                <w:lang w:eastAsia="cs-CZ"/>
              </w:rPr>
              <w:t>0,96</w:t>
            </w:r>
          </w:p>
        </w:tc>
      </w:tr>
      <w:tr w:rsidR="003A7606" w:rsidRPr="00CB5C00" w:rsidTr="00B67E2E">
        <w:trPr>
          <w:trHeight w:val="170"/>
        </w:trPr>
        <w:tc>
          <w:tcPr>
            <w:tcW w:w="3982" w:type="dxa"/>
            <w:tcBorders>
              <w:top w:val="nil"/>
              <w:left w:val="single" w:sz="4" w:space="0" w:color="auto"/>
              <w:bottom w:val="nil"/>
              <w:right w:val="nil"/>
            </w:tcBorders>
            <w:shd w:val="clear" w:color="auto" w:fill="auto"/>
            <w:noWrap/>
            <w:vAlign w:val="bottom"/>
            <w:hideMark/>
          </w:tcPr>
          <w:p w:rsidR="003A7606" w:rsidRPr="00B869A3" w:rsidRDefault="003A7606" w:rsidP="000C1EA6">
            <w:pPr>
              <w:rPr>
                <w:sz w:val="20"/>
                <w:szCs w:val="20"/>
                <w:lang w:eastAsia="cs-CZ"/>
              </w:rPr>
            </w:pPr>
            <w:r w:rsidRPr="00B869A3">
              <w:rPr>
                <w:sz w:val="20"/>
                <w:szCs w:val="20"/>
                <w:lang w:eastAsia="cs-CZ"/>
              </w:rPr>
              <w:t> </w:t>
            </w:r>
          </w:p>
        </w:tc>
        <w:tc>
          <w:tcPr>
            <w:tcW w:w="1655" w:type="dxa"/>
            <w:tcBorders>
              <w:top w:val="single" w:sz="4" w:space="0" w:color="AEAEAE"/>
              <w:left w:val="nil"/>
              <w:bottom w:val="nil"/>
              <w:right w:val="nil"/>
            </w:tcBorders>
            <w:shd w:val="clear" w:color="auto" w:fill="auto"/>
            <w:noWrap/>
            <w:hideMark/>
          </w:tcPr>
          <w:p w:rsidR="003A7606" w:rsidRPr="00B869A3" w:rsidRDefault="003A7606" w:rsidP="000C1EA6">
            <w:pPr>
              <w:rPr>
                <w:b/>
                <w:color w:val="010205"/>
                <w:sz w:val="20"/>
                <w:szCs w:val="20"/>
                <w:lang w:eastAsia="cs-CZ"/>
              </w:rPr>
            </w:pPr>
            <w:r w:rsidRPr="00B869A3">
              <w:rPr>
                <w:b/>
                <w:color w:val="010205"/>
                <w:sz w:val="20"/>
                <w:szCs w:val="20"/>
                <w:lang w:eastAsia="cs-CZ"/>
              </w:rPr>
              <w:t xml:space="preserve">5% Trimmed </w:t>
            </w:r>
            <w:r w:rsidRPr="00B869A3">
              <w:rPr>
                <w:b/>
                <w:color w:val="010205"/>
                <w:sz w:val="20"/>
                <w:szCs w:val="20"/>
                <w:lang w:eastAsia="cs-CZ"/>
              </w:rPr>
              <w:lastRenderedPageBreak/>
              <w:t>Mean</w:t>
            </w:r>
          </w:p>
        </w:tc>
        <w:tc>
          <w:tcPr>
            <w:tcW w:w="1089" w:type="dxa"/>
            <w:tcBorders>
              <w:top w:val="single" w:sz="4" w:space="0" w:color="AEAEAE"/>
              <w:left w:val="nil"/>
              <w:bottom w:val="nil"/>
              <w:right w:val="nil"/>
            </w:tcBorders>
            <w:shd w:val="clear" w:color="auto" w:fill="auto"/>
            <w:noWrap/>
            <w:hideMark/>
          </w:tcPr>
          <w:p w:rsidR="003A7606" w:rsidRPr="00B869A3" w:rsidRDefault="003A7606" w:rsidP="000C1EA6">
            <w:pPr>
              <w:rPr>
                <w:b/>
                <w:color w:val="010205"/>
                <w:sz w:val="20"/>
                <w:szCs w:val="20"/>
                <w:lang w:eastAsia="cs-CZ"/>
              </w:rPr>
            </w:pPr>
            <w:r w:rsidRPr="00B869A3">
              <w:rPr>
                <w:b/>
                <w:color w:val="010205"/>
                <w:sz w:val="20"/>
                <w:szCs w:val="20"/>
                <w:lang w:eastAsia="cs-CZ"/>
              </w:rPr>
              <w:lastRenderedPageBreak/>
              <w:t>0,33</w:t>
            </w:r>
          </w:p>
        </w:tc>
        <w:tc>
          <w:tcPr>
            <w:tcW w:w="1152" w:type="dxa"/>
            <w:tcBorders>
              <w:top w:val="single" w:sz="4" w:space="0" w:color="AEAEAE"/>
              <w:left w:val="nil"/>
              <w:bottom w:val="nil"/>
              <w:right w:val="nil"/>
            </w:tcBorders>
            <w:shd w:val="clear" w:color="auto" w:fill="auto"/>
            <w:noWrap/>
            <w:hideMark/>
          </w:tcPr>
          <w:p w:rsidR="003A7606" w:rsidRPr="00B869A3" w:rsidRDefault="003A7606" w:rsidP="000C1EA6">
            <w:pPr>
              <w:rPr>
                <w:b/>
                <w:color w:val="010205"/>
                <w:sz w:val="20"/>
                <w:szCs w:val="20"/>
                <w:lang w:eastAsia="cs-CZ"/>
              </w:rPr>
            </w:pPr>
            <w:r w:rsidRPr="00B869A3">
              <w:rPr>
                <w:b/>
                <w:color w:val="010205"/>
                <w:sz w:val="20"/>
                <w:szCs w:val="20"/>
                <w:lang w:eastAsia="cs-CZ"/>
              </w:rPr>
              <w:t>0,28</w:t>
            </w:r>
          </w:p>
        </w:tc>
        <w:tc>
          <w:tcPr>
            <w:tcW w:w="1194" w:type="dxa"/>
            <w:tcBorders>
              <w:top w:val="single" w:sz="4" w:space="0" w:color="AEAEAE"/>
              <w:left w:val="nil"/>
              <w:bottom w:val="nil"/>
              <w:right w:val="single" w:sz="4" w:space="0" w:color="auto"/>
            </w:tcBorders>
            <w:shd w:val="clear" w:color="auto" w:fill="auto"/>
            <w:noWrap/>
            <w:hideMark/>
          </w:tcPr>
          <w:p w:rsidR="003A7606" w:rsidRPr="00B869A3" w:rsidRDefault="003A7606" w:rsidP="000C1EA6">
            <w:pPr>
              <w:rPr>
                <w:b/>
                <w:color w:val="010205"/>
                <w:sz w:val="20"/>
                <w:szCs w:val="20"/>
                <w:lang w:eastAsia="cs-CZ"/>
              </w:rPr>
            </w:pPr>
            <w:r w:rsidRPr="00B869A3">
              <w:rPr>
                <w:b/>
                <w:color w:val="010205"/>
                <w:sz w:val="20"/>
                <w:szCs w:val="20"/>
                <w:lang w:eastAsia="cs-CZ"/>
              </w:rPr>
              <w:t>0,27</w:t>
            </w:r>
          </w:p>
        </w:tc>
      </w:tr>
      <w:tr w:rsidR="003A7606" w:rsidRPr="00CB5C00" w:rsidTr="00B67E2E">
        <w:trPr>
          <w:trHeight w:val="170"/>
        </w:trPr>
        <w:tc>
          <w:tcPr>
            <w:tcW w:w="3982" w:type="dxa"/>
            <w:tcBorders>
              <w:top w:val="nil"/>
              <w:left w:val="single" w:sz="4" w:space="0" w:color="auto"/>
              <w:bottom w:val="single" w:sz="4" w:space="0" w:color="auto"/>
              <w:right w:val="nil"/>
            </w:tcBorders>
            <w:shd w:val="clear" w:color="auto" w:fill="auto"/>
            <w:noWrap/>
            <w:vAlign w:val="bottom"/>
            <w:hideMark/>
          </w:tcPr>
          <w:p w:rsidR="003A7606" w:rsidRPr="00B869A3" w:rsidRDefault="003A7606" w:rsidP="000C1EA6">
            <w:pPr>
              <w:rPr>
                <w:sz w:val="20"/>
                <w:szCs w:val="20"/>
                <w:lang w:eastAsia="cs-CZ"/>
              </w:rPr>
            </w:pPr>
            <w:r w:rsidRPr="00B869A3">
              <w:rPr>
                <w:sz w:val="20"/>
                <w:szCs w:val="20"/>
                <w:lang w:eastAsia="cs-CZ"/>
              </w:rPr>
              <w:lastRenderedPageBreak/>
              <w:t> </w:t>
            </w:r>
          </w:p>
        </w:tc>
        <w:tc>
          <w:tcPr>
            <w:tcW w:w="1655" w:type="dxa"/>
            <w:tcBorders>
              <w:top w:val="single" w:sz="4" w:space="0" w:color="AEAEAE"/>
              <w:left w:val="nil"/>
              <w:bottom w:val="single" w:sz="4" w:space="0" w:color="auto"/>
              <w:right w:val="nil"/>
            </w:tcBorders>
            <w:shd w:val="clear" w:color="auto" w:fill="auto"/>
            <w:noWrap/>
            <w:hideMark/>
          </w:tcPr>
          <w:p w:rsidR="003A7606" w:rsidRPr="00B869A3" w:rsidRDefault="003A7606" w:rsidP="000C1EA6">
            <w:pPr>
              <w:rPr>
                <w:b/>
                <w:color w:val="010205"/>
                <w:sz w:val="20"/>
                <w:szCs w:val="20"/>
                <w:lang w:eastAsia="cs-CZ"/>
              </w:rPr>
            </w:pPr>
            <w:r w:rsidRPr="00B869A3">
              <w:rPr>
                <w:b/>
                <w:color w:val="010205"/>
                <w:sz w:val="20"/>
                <w:szCs w:val="20"/>
                <w:lang w:eastAsia="cs-CZ"/>
              </w:rPr>
              <w:t>Median</w:t>
            </w:r>
          </w:p>
        </w:tc>
        <w:tc>
          <w:tcPr>
            <w:tcW w:w="1089" w:type="dxa"/>
            <w:tcBorders>
              <w:top w:val="single" w:sz="4" w:space="0" w:color="AEAEAE"/>
              <w:left w:val="nil"/>
              <w:bottom w:val="single" w:sz="4" w:space="0" w:color="auto"/>
              <w:right w:val="nil"/>
            </w:tcBorders>
            <w:shd w:val="clear" w:color="auto" w:fill="auto"/>
            <w:noWrap/>
            <w:hideMark/>
          </w:tcPr>
          <w:p w:rsidR="003A7606" w:rsidRPr="00B869A3" w:rsidRDefault="003A7606" w:rsidP="000C1EA6">
            <w:pPr>
              <w:rPr>
                <w:b/>
                <w:color w:val="010205"/>
                <w:sz w:val="20"/>
                <w:szCs w:val="20"/>
                <w:lang w:eastAsia="cs-CZ"/>
              </w:rPr>
            </w:pPr>
            <w:r w:rsidRPr="00B869A3">
              <w:rPr>
                <w:b/>
                <w:color w:val="010205"/>
                <w:sz w:val="20"/>
                <w:szCs w:val="20"/>
                <w:lang w:eastAsia="cs-CZ"/>
              </w:rPr>
              <w:t>0,27</w:t>
            </w:r>
          </w:p>
        </w:tc>
        <w:tc>
          <w:tcPr>
            <w:tcW w:w="1152" w:type="dxa"/>
            <w:tcBorders>
              <w:top w:val="single" w:sz="4" w:space="0" w:color="AEAEAE"/>
              <w:left w:val="nil"/>
              <w:bottom w:val="single" w:sz="4" w:space="0" w:color="auto"/>
              <w:right w:val="nil"/>
            </w:tcBorders>
            <w:shd w:val="clear" w:color="auto" w:fill="auto"/>
            <w:noWrap/>
            <w:hideMark/>
          </w:tcPr>
          <w:p w:rsidR="003A7606" w:rsidRPr="00B869A3" w:rsidRDefault="003A7606" w:rsidP="000C1EA6">
            <w:pPr>
              <w:rPr>
                <w:b/>
                <w:color w:val="010205"/>
                <w:sz w:val="20"/>
                <w:szCs w:val="20"/>
                <w:lang w:eastAsia="cs-CZ"/>
              </w:rPr>
            </w:pPr>
            <w:r w:rsidRPr="00B869A3">
              <w:rPr>
                <w:b/>
                <w:color w:val="010205"/>
                <w:sz w:val="20"/>
                <w:szCs w:val="20"/>
                <w:lang w:eastAsia="cs-CZ"/>
              </w:rPr>
              <w:t>0,23</w:t>
            </w:r>
          </w:p>
        </w:tc>
        <w:tc>
          <w:tcPr>
            <w:tcW w:w="1194" w:type="dxa"/>
            <w:tcBorders>
              <w:top w:val="single" w:sz="4" w:space="0" w:color="AEAEAE"/>
              <w:left w:val="nil"/>
              <w:bottom w:val="single" w:sz="4" w:space="0" w:color="auto"/>
              <w:right w:val="single" w:sz="4" w:space="0" w:color="auto"/>
            </w:tcBorders>
            <w:shd w:val="clear" w:color="auto" w:fill="auto"/>
            <w:noWrap/>
            <w:hideMark/>
          </w:tcPr>
          <w:p w:rsidR="003A7606" w:rsidRPr="00B869A3" w:rsidRDefault="003A7606" w:rsidP="000C1EA6">
            <w:pPr>
              <w:rPr>
                <w:b/>
                <w:color w:val="010205"/>
                <w:sz w:val="20"/>
                <w:szCs w:val="20"/>
                <w:lang w:eastAsia="cs-CZ"/>
              </w:rPr>
            </w:pPr>
            <w:r w:rsidRPr="00B869A3">
              <w:rPr>
                <w:b/>
                <w:color w:val="010205"/>
                <w:sz w:val="20"/>
                <w:szCs w:val="20"/>
                <w:lang w:eastAsia="cs-CZ"/>
              </w:rPr>
              <w:t>0,22</w:t>
            </w:r>
          </w:p>
        </w:tc>
      </w:tr>
    </w:tbl>
    <w:p w:rsidR="000C1EA6" w:rsidRDefault="000C1EA6" w:rsidP="000C1EA6"/>
    <w:p w:rsidR="009B0A0A" w:rsidRDefault="009B0A0A" w:rsidP="000C1EA6">
      <w:r w:rsidRPr="00CB5C00">
        <w:t>S vývojem marží úzce souvisí nákladovost. Podíl výkonové spotřeby na výkonech vykazuje v posledním roce před úpadkem výrazné zvýšení, což by mohlo nasvědčovat tomu, že podniky s blížícím se úpadkem přestaly zvládat kontrolu fixních nákladů. Podíl osobních nákladů na výkonech před úpadkem rovněž vzrost, což (stejně jako v předchozím případě) nasvědčuje nepružnosti podniků ve vztahu k nákladům práce a vývoji jejich reálné situace.</w:t>
      </w:r>
    </w:p>
    <w:p w:rsidR="00B370E5" w:rsidRDefault="00B370E5" w:rsidP="000C1EA6"/>
    <w:p w:rsidR="00136B14" w:rsidRDefault="00136B14" w:rsidP="005A5A62">
      <w:pPr>
        <w:pStyle w:val="Nadpis4"/>
        <w:numPr>
          <w:ilvl w:val="3"/>
          <w:numId w:val="15"/>
        </w:numPr>
      </w:pPr>
      <w:r w:rsidRPr="00CB5C00">
        <w:t>Likvidita a pracovní kapitál</w:t>
      </w:r>
    </w:p>
    <w:p w:rsidR="00E01698" w:rsidRPr="00E01698" w:rsidRDefault="00E01698" w:rsidP="00E01698">
      <w:pPr>
        <w:rPr>
          <w:lang w:eastAsia="cs-CZ"/>
        </w:rPr>
      </w:pPr>
    </w:p>
    <w:p w:rsidR="00B67E2E" w:rsidRDefault="00B67E2E" w:rsidP="00B67E2E">
      <w:pPr>
        <w:pStyle w:val="Titulek"/>
        <w:keepNext/>
      </w:pPr>
      <w:bookmarkStart w:id="109" w:name="_Toc31054814"/>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38</w:t>
      </w:r>
      <w:r w:rsidR="00163A91">
        <w:rPr>
          <w:noProof/>
        </w:rPr>
        <w:fldChar w:fldCharType="end"/>
      </w:r>
      <w:r>
        <w:t xml:space="preserve"> Likvidita a pracovní kapitál</w:t>
      </w:r>
      <w:bookmarkEnd w:id="109"/>
    </w:p>
    <w:tbl>
      <w:tblPr>
        <w:tblW w:w="9072" w:type="dxa"/>
        <w:tblCellMar>
          <w:left w:w="70" w:type="dxa"/>
          <w:right w:w="70" w:type="dxa"/>
        </w:tblCellMar>
        <w:tblLook w:val="04A0"/>
      </w:tblPr>
      <w:tblGrid>
        <w:gridCol w:w="3982"/>
        <w:gridCol w:w="1655"/>
        <w:gridCol w:w="1089"/>
        <w:gridCol w:w="1152"/>
        <w:gridCol w:w="1194"/>
      </w:tblGrid>
      <w:tr w:rsidR="003A7606" w:rsidRPr="00CB5C00" w:rsidTr="00FF0D08">
        <w:trPr>
          <w:trHeight w:val="170"/>
        </w:trPr>
        <w:tc>
          <w:tcPr>
            <w:tcW w:w="3982" w:type="dxa"/>
            <w:tcBorders>
              <w:top w:val="single" w:sz="4" w:space="0" w:color="auto"/>
              <w:left w:val="single" w:sz="4" w:space="0" w:color="auto"/>
              <w:bottom w:val="single" w:sz="4" w:space="0" w:color="auto"/>
              <w:right w:val="nil"/>
            </w:tcBorders>
            <w:shd w:val="clear" w:color="auto" w:fill="auto"/>
            <w:noWrap/>
            <w:vAlign w:val="bottom"/>
            <w:hideMark/>
          </w:tcPr>
          <w:p w:rsidR="003A7606" w:rsidRPr="00B869A3" w:rsidRDefault="003A7606" w:rsidP="00E01698">
            <w:pPr>
              <w:rPr>
                <w:sz w:val="20"/>
                <w:szCs w:val="20"/>
                <w:lang w:eastAsia="cs-CZ"/>
              </w:rPr>
            </w:pPr>
            <w:r w:rsidRPr="00B869A3">
              <w:rPr>
                <w:sz w:val="20"/>
                <w:szCs w:val="20"/>
                <w:lang w:eastAsia="cs-CZ"/>
              </w:rPr>
              <w:t> </w:t>
            </w:r>
          </w:p>
        </w:tc>
        <w:tc>
          <w:tcPr>
            <w:tcW w:w="1655" w:type="dxa"/>
            <w:tcBorders>
              <w:top w:val="single" w:sz="4" w:space="0" w:color="auto"/>
              <w:left w:val="nil"/>
              <w:bottom w:val="single" w:sz="4" w:space="0" w:color="auto"/>
              <w:right w:val="nil"/>
            </w:tcBorders>
            <w:shd w:val="clear" w:color="auto" w:fill="auto"/>
            <w:noWrap/>
            <w:vAlign w:val="bottom"/>
            <w:hideMark/>
          </w:tcPr>
          <w:p w:rsidR="003A7606" w:rsidRPr="00B869A3" w:rsidRDefault="003A7606" w:rsidP="00E01698">
            <w:pPr>
              <w:rPr>
                <w:sz w:val="20"/>
                <w:szCs w:val="20"/>
                <w:lang w:eastAsia="cs-CZ"/>
              </w:rPr>
            </w:pPr>
            <w:r w:rsidRPr="00B869A3">
              <w:rPr>
                <w:sz w:val="20"/>
                <w:szCs w:val="20"/>
                <w:lang w:eastAsia="cs-CZ"/>
              </w:rPr>
              <w:t> </w:t>
            </w:r>
          </w:p>
        </w:tc>
        <w:tc>
          <w:tcPr>
            <w:tcW w:w="1089" w:type="dxa"/>
            <w:tcBorders>
              <w:top w:val="single" w:sz="4" w:space="0" w:color="auto"/>
              <w:left w:val="nil"/>
              <w:bottom w:val="single" w:sz="4" w:space="0" w:color="auto"/>
              <w:right w:val="nil"/>
            </w:tcBorders>
            <w:shd w:val="clear" w:color="auto" w:fill="auto"/>
            <w:vAlign w:val="bottom"/>
            <w:hideMark/>
          </w:tcPr>
          <w:p w:rsidR="003A7606" w:rsidRPr="00B869A3" w:rsidRDefault="003A7606" w:rsidP="00E01698">
            <w:pPr>
              <w:rPr>
                <w:color w:val="264A60"/>
                <w:sz w:val="20"/>
                <w:szCs w:val="20"/>
                <w:lang w:eastAsia="cs-CZ"/>
              </w:rPr>
            </w:pPr>
            <w:r w:rsidRPr="00B869A3">
              <w:rPr>
                <w:color w:val="264A60"/>
                <w:sz w:val="20"/>
                <w:szCs w:val="20"/>
                <w:lang w:eastAsia="cs-CZ"/>
              </w:rPr>
              <w:t>1 rok před úpadkem</w:t>
            </w:r>
          </w:p>
        </w:tc>
        <w:tc>
          <w:tcPr>
            <w:tcW w:w="1152" w:type="dxa"/>
            <w:tcBorders>
              <w:top w:val="single" w:sz="4" w:space="0" w:color="auto"/>
              <w:left w:val="nil"/>
              <w:bottom w:val="single" w:sz="4" w:space="0" w:color="auto"/>
              <w:right w:val="nil"/>
            </w:tcBorders>
            <w:shd w:val="clear" w:color="auto" w:fill="auto"/>
            <w:vAlign w:val="bottom"/>
            <w:hideMark/>
          </w:tcPr>
          <w:p w:rsidR="003A7606" w:rsidRPr="00B869A3" w:rsidRDefault="003A7606" w:rsidP="00E01698">
            <w:pPr>
              <w:rPr>
                <w:color w:val="264A60"/>
                <w:sz w:val="20"/>
                <w:szCs w:val="20"/>
                <w:lang w:eastAsia="cs-CZ"/>
              </w:rPr>
            </w:pPr>
            <w:r w:rsidRPr="00B869A3">
              <w:rPr>
                <w:color w:val="264A60"/>
                <w:sz w:val="20"/>
                <w:szCs w:val="20"/>
                <w:lang w:eastAsia="cs-CZ"/>
              </w:rPr>
              <w:t>2 roky před úpadkem</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3A7606" w:rsidRPr="00B869A3" w:rsidRDefault="003A7606" w:rsidP="00E01698">
            <w:pPr>
              <w:rPr>
                <w:color w:val="264A60"/>
                <w:sz w:val="20"/>
                <w:szCs w:val="20"/>
                <w:lang w:eastAsia="cs-CZ"/>
              </w:rPr>
            </w:pPr>
            <w:r w:rsidRPr="00B869A3">
              <w:rPr>
                <w:color w:val="264A60"/>
                <w:sz w:val="20"/>
                <w:szCs w:val="20"/>
                <w:lang w:eastAsia="cs-CZ"/>
              </w:rPr>
              <w:t>3 roky před úpadkem</w:t>
            </w:r>
          </w:p>
        </w:tc>
      </w:tr>
      <w:tr w:rsidR="003A7606" w:rsidRPr="00CB5C00" w:rsidTr="00FF0D08">
        <w:trPr>
          <w:trHeight w:val="170"/>
        </w:trPr>
        <w:tc>
          <w:tcPr>
            <w:tcW w:w="3982" w:type="dxa"/>
            <w:tcBorders>
              <w:top w:val="nil"/>
              <w:left w:val="single" w:sz="4" w:space="0" w:color="auto"/>
              <w:bottom w:val="nil"/>
              <w:right w:val="nil"/>
            </w:tcBorders>
            <w:shd w:val="clear" w:color="auto" w:fill="auto"/>
            <w:noWrap/>
            <w:hideMark/>
          </w:tcPr>
          <w:p w:rsidR="003A7606" w:rsidRPr="00B869A3" w:rsidRDefault="003A7606" w:rsidP="00E01698">
            <w:pPr>
              <w:rPr>
                <w:color w:val="010205"/>
                <w:sz w:val="20"/>
                <w:szCs w:val="20"/>
                <w:lang w:eastAsia="cs-CZ"/>
              </w:rPr>
            </w:pPr>
            <w:r w:rsidRPr="00B869A3">
              <w:rPr>
                <w:color w:val="010205"/>
                <w:sz w:val="20"/>
                <w:szCs w:val="20"/>
                <w:lang w:eastAsia="cs-CZ"/>
              </w:rPr>
              <w:t>Podíl hotovosti na nutné hotovosti</w:t>
            </w:r>
          </w:p>
        </w:tc>
        <w:tc>
          <w:tcPr>
            <w:tcW w:w="1655" w:type="dxa"/>
            <w:tcBorders>
              <w:top w:val="nil"/>
              <w:left w:val="nil"/>
              <w:bottom w:val="nil"/>
              <w:right w:val="nil"/>
            </w:tcBorders>
            <w:shd w:val="clear" w:color="auto" w:fill="auto"/>
            <w:noWrap/>
            <w:hideMark/>
          </w:tcPr>
          <w:p w:rsidR="003A7606" w:rsidRPr="00B869A3" w:rsidRDefault="003A7606" w:rsidP="00E01698">
            <w:pPr>
              <w:rPr>
                <w:color w:val="010205"/>
                <w:sz w:val="20"/>
                <w:szCs w:val="20"/>
                <w:lang w:eastAsia="cs-CZ"/>
              </w:rPr>
            </w:pPr>
            <w:r w:rsidRPr="00B869A3">
              <w:rPr>
                <w:color w:val="010205"/>
                <w:sz w:val="20"/>
                <w:szCs w:val="20"/>
                <w:lang w:eastAsia="cs-CZ"/>
              </w:rPr>
              <w:t>Mean</w:t>
            </w:r>
          </w:p>
        </w:tc>
        <w:tc>
          <w:tcPr>
            <w:tcW w:w="1089" w:type="dxa"/>
            <w:tcBorders>
              <w:top w:val="nil"/>
              <w:left w:val="nil"/>
              <w:bottom w:val="nil"/>
              <w:right w:val="nil"/>
            </w:tcBorders>
            <w:shd w:val="clear" w:color="auto" w:fill="auto"/>
            <w:noWrap/>
            <w:hideMark/>
          </w:tcPr>
          <w:p w:rsidR="003A7606" w:rsidRPr="00B869A3" w:rsidRDefault="003A7606" w:rsidP="00E01698">
            <w:pPr>
              <w:rPr>
                <w:color w:val="010205"/>
                <w:sz w:val="20"/>
                <w:szCs w:val="20"/>
                <w:lang w:eastAsia="cs-CZ"/>
              </w:rPr>
            </w:pPr>
            <w:r w:rsidRPr="00B869A3">
              <w:rPr>
                <w:color w:val="010205"/>
                <w:sz w:val="20"/>
                <w:szCs w:val="20"/>
                <w:lang w:eastAsia="cs-CZ"/>
              </w:rPr>
              <w:t>0,81</w:t>
            </w:r>
          </w:p>
        </w:tc>
        <w:tc>
          <w:tcPr>
            <w:tcW w:w="1152" w:type="dxa"/>
            <w:tcBorders>
              <w:top w:val="nil"/>
              <w:left w:val="nil"/>
              <w:bottom w:val="nil"/>
              <w:right w:val="nil"/>
            </w:tcBorders>
            <w:shd w:val="clear" w:color="auto" w:fill="auto"/>
            <w:noWrap/>
            <w:hideMark/>
          </w:tcPr>
          <w:p w:rsidR="003A7606" w:rsidRPr="00B869A3" w:rsidRDefault="003A7606" w:rsidP="00E01698">
            <w:pPr>
              <w:rPr>
                <w:color w:val="010205"/>
                <w:sz w:val="20"/>
                <w:szCs w:val="20"/>
                <w:lang w:eastAsia="cs-CZ"/>
              </w:rPr>
            </w:pPr>
            <w:r w:rsidRPr="00B869A3">
              <w:rPr>
                <w:color w:val="010205"/>
                <w:sz w:val="20"/>
                <w:szCs w:val="20"/>
                <w:lang w:eastAsia="cs-CZ"/>
              </w:rPr>
              <w:t>1,67</w:t>
            </w:r>
          </w:p>
        </w:tc>
        <w:tc>
          <w:tcPr>
            <w:tcW w:w="1194" w:type="dxa"/>
            <w:tcBorders>
              <w:top w:val="nil"/>
              <w:left w:val="nil"/>
              <w:bottom w:val="nil"/>
              <w:right w:val="single" w:sz="4" w:space="0" w:color="auto"/>
            </w:tcBorders>
            <w:shd w:val="clear" w:color="auto" w:fill="auto"/>
            <w:noWrap/>
            <w:hideMark/>
          </w:tcPr>
          <w:p w:rsidR="003A7606" w:rsidRPr="00B869A3" w:rsidRDefault="003A7606" w:rsidP="00E01698">
            <w:pPr>
              <w:rPr>
                <w:color w:val="010205"/>
                <w:sz w:val="20"/>
                <w:szCs w:val="20"/>
                <w:lang w:eastAsia="cs-CZ"/>
              </w:rPr>
            </w:pPr>
            <w:r w:rsidRPr="00B869A3">
              <w:rPr>
                <w:color w:val="010205"/>
                <w:sz w:val="20"/>
                <w:szCs w:val="20"/>
                <w:lang w:eastAsia="cs-CZ"/>
              </w:rPr>
              <w:t>94,34</w:t>
            </w:r>
          </w:p>
        </w:tc>
      </w:tr>
      <w:tr w:rsidR="003A7606" w:rsidRPr="00CB5C00" w:rsidTr="00FF0D08">
        <w:trPr>
          <w:trHeight w:val="170"/>
        </w:trPr>
        <w:tc>
          <w:tcPr>
            <w:tcW w:w="3982" w:type="dxa"/>
            <w:tcBorders>
              <w:top w:val="nil"/>
              <w:left w:val="single" w:sz="4" w:space="0" w:color="auto"/>
              <w:bottom w:val="nil"/>
              <w:right w:val="nil"/>
            </w:tcBorders>
            <w:shd w:val="clear" w:color="auto" w:fill="auto"/>
            <w:noWrap/>
            <w:vAlign w:val="bottom"/>
            <w:hideMark/>
          </w:tcPr>
          <w:p w:rsidR="003A7606" w:rsidRPr="00B869A3" w:rsidRDefault="003A7606" w:rsidP="00E01698">
            <w:pPr>
              <w:rPr>
                <w:sz w:val="20"/>
                <w:szCs w:val="20"/>
                <w:lang w:eastAsia="cs-CZ"/>
              </w:rPr>
            </w:pPr>
            <w:r w:rsidRPr="00B869A3">
              <w:rPr>
                <w:sz w:val="20"/>
                <w:szCs w:val="20"/>
                <w:lang w:eastAsia="cs-CZ"/>
              </w:rPr>
              <w:t> </w:t>
            </w:r>
          </w:p>
        </w:tc>
        <w:tc>
          <w:tcPr>
            <w:tcW w:w="1655" w:type="dxa"/>
            <w:tcBorders>
              <w:top w:val="single" w:sz="4" w:space="0" w:color="AEAEAE"/>
              <w:left w:val="nil"/>
              <w:bottom w:val="nil"/>
              <w:right w:val="nil"/>
            </w:tcBorders>
            <w:shd w:val="clear" w:color="auto" w:fill="auto"/>
            <w:noWrap/>
            <w:hideMark/>
          </w:tcPr>
          <w:p w:rsidR="003A7606" w:rsidRPr="00B869A3" w:rsidRDefault="003A7606" w:rsidP="00E01698">
            <w:pPr>
              <w:rPr>
                <w:b/>
                <w:color w:val="010205"/>
                <w:sz w:val="20"/>
                <w:szCs w:val="20"/>
                <w:lang w:eastAsia="cs-CZ"/>
              </w:rPr>
            </w:pPr>
            <w:r w:rsidRPr="00B869A3">
              <w:rPr>
                <w:b/>
                <w:color w:val="010205"/>
                <w:sz w:val="20"/>
                <w:szCs w:val="20"/>
                <w:lang w:eastAsia="cs-CZ"/>
              </w:rPr>
              <w:t>5% Trimmed Mean</w:t>
            </w:r>
          </w:p>
        </w:tc>
        <w:tc>
          <w:tcPr>
            <w:tcW w:w="1089" w:type="dxa"/>
            <w:tcBorders>
              <w:top w:val="single" w:sz="4" w:space="0" w:color="AEAEAE"/>
              <w:left w:val="nil"/>
              <w:bottom w:val="nil"/>
              <w:right w:val="nil"/>
            </w:tcBorders>
            <w:shd w:val="clear" w:color="auto" w:fill="auto"/>
            <w:noWrap/>
            <w:hideMark/>
          </w:tcPr>
          <w:p w:rsidR="003A7606" w:rsidRPr="00B869A3" w:rsidRDefault="003A7606" w:rsidP="00E01698">
            <w:pPr>
              <w:rPr>
                <w:b/>
                <w:color w:val="FF0000"/>
                <w:sz w:val="20"/>
                <w:szCs w:val="20"/>
                <w:lang w:eastAsia="cs-CZ"/>
              </w:rPr>
            </w:pPr>
            <w:r w:rsidRPr="00B869A3">
              <w:rPr>
                <w:b/>
                <w:color w:val="FF0000"/>
                <w:sz w:val="20"/>
                <w:szCs w:val="20"/>
                <w:lang w:eastAsia="cs-CZ"/>
              </w:rPr>
              <w:t>0,42</w:t>
            </w:r>
          </w:p>
        </w:tc>
        <w:tc>
          <w:tcPr>
            <w:tcW w:w="1152" w:type="dxa"/>
            <w:tcBorders>
              <w:top w:val="single" w:sz="4" w:space="0" w:color="AEAEAE"/>
              <w:left w:val="nil"/>
              <w:bottom w:val="nil"/>
              <w:right w:val="nil"/>
            </w:tcBorders>
            <w:shd w:val="clear" w:color="auto" w:fill="auto"/>
            <w:noWrap/>
            <w:hideMark/>
          </w:tcPr>
          <w:p w:rsidR="003A7606" w:rsidRPr="00B869A3" w:rsidRDefault="003A7606" w:rsidP="00E01698">
            <w:pPr>
              <w:rPr>
                <w:b/>
                <w:color w:val="FF0000"/>
                <w:sz w:val="20"/>
                <w:szCs w:val="20"/>
                <w:lang w:eastAsia="cs-CZ"/>
              </w:rPr>
            </w:pPr>
            <w:r w:rsidRPr="00B869A3">
              <w:rPr>
                <w:b/>
                <w:color w:val="FF0000"/>
                <w:sz w:val="20"/>
                <w:szCs w:val="20"/>
                <w:lang w:eastAsia="cs-CZ"/>
              </w:rPr>
              <w:t>0,73</w:t>
            </w:r>
          </w:p>
        </w:tc>
        <w:tc>
          <w:tcPr>
            <w:tcW w:w="1194" w:type="dxa"/>
            <w:tcBorders>
              <w:top w:val="single" w:sz="4" w:space="0" w:color="AEAEAE"/>
              <w:left w:val="nil"/>
              <w:bottom w:val="nil"/>
              <w:right w:val="single" w:sz="4" w:space="0" w:color="auto"/>
            </w:tcBorders>
            <w:shd w:val="clear" w:color="auto" w:fill="auto"/>
            <w:noWrap/>
            <w:hideMark/>
          </w:tcPr>
          <w:p w:rsidR="003A7606" w:rsidRPr="00B869A3" w:rsidRDefault="003A7606" w:rsidP="00E01698">
            <w:pPr>
              <w:rPr>
                <w:b/>
                <w:color w:val="010205"/>
                <w:sz w:val="20"/>
                <w:szCs w:val="20"/>
                <w:lang w:eastAsia="cs-CZ"/>
              </w:rPr>
            </w:pPr>
            <w:r w:rsidRPr="00B869A3">
              <w:rPr>
                <w:b/>
                <w:color w:val="010205"/>
                <w:sz w:val="20"/>
                <w:szCs w:val="20"/>
                <w:lang w:eastAsia="cs-CZ"/>
              </w:rPr>
              <w:t>2,09</w:t>
            </w:r>
          </w:p>
        </w:tc>
      </w:tr>
      <w:tr w:rsidR="003A7606" w:rsidRPr="00CB5C00" w:rsidTr="00FF0D08">
        <w:trPr>
          <w:trHeight w:val="170"/>
        </w:trPr>
        <w:tc>
          <w:tcPr>
            <w:tcW w:w="3982" w:type="dxa"/>
            <w:tcBorders>
              <w:top w:val="nil"/>
              <w:left w:val="single" w:sz="4" w:space="0" w:color="auto"/>
              <w:bottom w:val="single" w:sz="4" w:space="0" w:color="auto"/>
              <w:right w:val="nil"/>
            </w:tcBorders>
            <w:shd w:val="clear" w:color="auto" w:fill="auto"/>
            <w:noWrap/>
            <w:vAlign w:val="bottom"/>
            <w:hideMark/>
          </w:tcPr>
          <w:p w:rsidR="003A7606" w:rsidRPr="00B869A3" w:rsidRDefault="003A7606" w:rsidP="00E01698">
            <w:pPr>
              <w:rPr>
                <w:sz w:val="20"/>
                <w:szCs w:val="20"/>
                <w:lang w:eastAsia="cs-CZ"/>
              </w:rPr>
            </w:pPr>
            <w:r w:rsidRPr="00B869A3">
              <w:rPr>
                <w:sz w:val="20"/>
                <w:szCs w:val="20"/>
                <w:lang w:eastAsia="cs-CZ"/>
              </w:rPr>
              <w:t> </w:t>
            </w:r>
          </w:p>
        </w:tc>
        <w:tc>
          <w:tcPr>
            <w:tcW w:w="1655" w:type="dxa"/>
            <w:tcBorders>
              <w:top w:val="single" w:sz="4" w:space="0" w:color="AEAEAE"/>
              <w:left w:val="nil"/>
              <w:bottom w:val="single" w:sz="4" w:space="0" w:color="auto"/>
              <w:right w:val="nil"/>
            </w:tcBorders>
            <w:shd w:val="clear" w:color="auto" w:fill="auto"/>
            <w:noWrap/>
            <w:hideMark/>
          </w:tcPr>
          <w:p w:rsidR="003A7606" w:rsidRPr="00B869A3" w:rsidRDefault="003A7606" w:rsidP="00E01698">
            <w:pPr>
              <w:rPr>
                <w:b/>
                <w:color w:val="010205"/>
                <w:sz w:val="20"/>
                <w:szCs w:val="20"/>
                <w:lang w:eastAsia="cs-CZ"/>
              </w:rPr>
            </w:pPr>
            <w:r w:rsidRPr="00B869A3">
              <w:rPr>
                <w:b/>
                <w:color w:val="010205"/>
                <w:sz w:val="20"/>
                <w:szCs w:val="20"/>
                <w:lang w:eastAsia="cs-CZ"/>
              </w:rPr>
              <w:t>Median</w:t>
            </w:r>
          </w:p>
        </w:tc>
        <w:tc>
          <w:tcPr>
            <w:tcW w:w="1089" w:type="dxa"/>
            <w:tcBorders>
              <w:top w:val="single" w:sz="4" w:space="0" w:color="AEAEAE"/>
              <w:left w:val="nil"/>
              <w:bottom w:val="single" w:sz="4" w:space="0" w:color="auto"/>
              <w:right w:val="nil"/>
            </w:tcBorders>
            <w:shd w:val="clear" w:color="auto" w:fill="auto"/>
            <w:noWrap/>
            <w:hideMark/>
          </w:tcPr>
          <w:p w:rsidR="003A7606" w:rsidRPr="00B869A3" w:rsidRDefault="003A7606" w:rsidP="00E01698">
            <w:pPr>
              <w:rPr>
                <w:b/>
                <w:color w:val="FF0000"/>
                <w:sz w:val="20"/>
                <w:szCs w:val="20"/>
                <w:lang w:eastAsia="cs-CZ"/>
              </w:rPr>
            </w:pPr>
            <w:r w:rsidRPr="00B869A3">
              <w:rPr>
                <w:b/>
                <w:color w:val="FF0000"/>
                <w:sz w:val="20"/>
                <w:szCs w:val="20"/>
                <w:lang w:eastAsia="cs-CZ"/>
              </w:rPr>
              <w:t>0,14</w:t>
            </w:r>
          </w:p>
        </w:tc>
        <w:tc>
          <w:tcPr>
            <w:tcW w:w="1152" w:type="dxa"/>
            <w:tcBorders>
              <w:top w:val="single" w:sz="4" w:space="0" w:color="AEAEAE"/>
              <w:left w:val="nil"/>
              <w:bottom w:val="single" w:sz="4" w:space="0" w:color="auto"/>
              <w:right w:val="nil"/>
            </w:tcBorders>
            <w:shd w:val="clear" w:color="auto" w:fill="auto"/>
            <w:noWrap/>
            <w:hideMark/>
          </w:tcPr>
          <w:p w:rsidR="003A7606" w:rsidRPr="00B869A3" w:rsidRDefault="003A7606" w:rsidP="00E01698">
            <w:pPr>
              <w:rPr>
                <w:b/>
                <w:color w:val="FF0000"/>
                <w:sz w:val="20"/>
                <w:szCs w:val="20"/>
                <w:lang w:eastAsia="cs-CZ"/>
              </w:rPr>
            </w:pPr>
            <w:r w:rsidRPr="00B869A3">
              <w:rPr>
                <w:b/>
                <w:color w:val="FF0000"/>
                <w:sz w:val="20"/>
                <w:szCs w:val="20"/>
                <w:lang w:eastAsia="cs-CZ"/>
              </w:rPr>
              <w:t>0,29</w:t>
            </w:r>
          </w:p>
        </w:tc>
        <w:tc>
          <w:tcPr>
            <w:tcW w:w="1194" w:type="dxa"/>
            <w:tcBorders>
              <w:top w:val="single" w:sz="4" w:space="0" w:color="AEAEAE"/>
              <w:left w:val="nil"/>
              <w:bottom w:val="single" w:sz="4" w:space="0" w:color="auto"/>
              <w:right w:val="single" w:sz="4" w:space="0" w:color="auto"/>
            </w:tcBorders>
            <w:shd w:val="clear" w:color="auto" w:fill="auto"/>
            <w:noWrap/>
            <w:hideMark/>
          </w:tcPr>
          <w:p w:rsidR="003A7606" w:rsidRPr="00B869A3" w:rsidRDefault="003A7606" w:rsidP="00E01698">
            <w:pPr>
              <w:rPr>
                <w:b/>
                <w:color w:val="010205"/>
                <w:sz w:val="20"/>
                <w:szCs w:val="20"/>
                <w:lang w:eastAsia="cs-CZ"/>
              </w:rPr>
            </w:pPr>
            <w:r w:rsidRPr="00B869A3">
              <w:rPr>
                <w:b/>
                <w:color w:val="010205"/>
                <w:sz w:val="20"/>
                <w:szCs w:val="20"/>
                <w:lang w:eastAsia="cs-CZ"/>
              </w:rPr>
              <w:t>1,04</w:t>
            </w:r>
          </w:p>
        </w:tc>
      </w:tr>
      <w:tr w:rsidR="003A7606" w:rsidRPr="00CB5C00" w:rsidTr="00FF0D08">
        <w:trPr>
          <w:trHeight w:val="170"/>
        </w:trPr>
        <w:tc>
          <w:tcPr>
            <w:tcW w:w="3982" w:type="dxa"/>
            <w:tcBorders>
              <w:top w:val="single" w:sz="4" w:space="0" w:color="auto"/>
              <w:left w:val="single" w:sz="4" w:space="0" w:color="auto"/>
              <w:bottom w:val="nil"/>
              <w:right w:val="nil"/>
            </w:tcBorders>
            <w:shd w:val="clear" w:color="auto" w:fill="auto"/>
            <w:noWrap/>
            <w:hideMark/>
          </w:tcPr>
          <w:p w:rsidR="003A7606" w:rsidRPr="00B869A3" w:rsidRDefault="003A7606" w:rsidP="000C1EA6">
            <w:pPr>
              <w:rPr>
                <w:sz w:val="20"/>
                <w:szCs w:val="20"/>
                <w:lang w:eastAsia="cs-CZ"/>
              </w:rPr>
            </w:pPr>
            <w:r w:rsidRPr="00B869A3">
              <w:rPr>
                <w:sz w:val="20"/>
                <w:szCs w:val="20"/>
                <w:lang w:eastAsia="cs-CZ"/>
              </w:rPr>
              <w:t>Podíl hotovosti nutné hotovosti (20 %)</w:t>
            </w:r>
          </w:p>
        </w:tc>
        <w:tc>
          <w:tcPr>
            <w:tcW w:w="1655" w:type="dxa"/>
            <w:tcBorders>
              <w:top w:val="single" w:sz="4" w:space="0" w:color="auto"/>
              <w:left w:val="nil"/>
              <w:bottom w:val="nil"/>
              <w:right w:val="nil"/>
            </w:tcBorders>
            <w:shd w:val="clear" w:color="auto" w:fill="auto"/>
            <w:noWrap/>
            <w:hideMark/>
          </w:tcPr>
          <w:p w:rsidR="003A7606" w:rsidRPr="00B869A3" w:rsidRDefault="003A7606" w:rsidP="000C1EA6">
            <w:pPr>
              <w:rPr>
                <w:sz w:val="20"/>
                <w:szCs w:val="20"/>
                <w:lang w:eastAsia="cs-CZ"/>
              </w:rPr>
            </w:pPr>
            <w:r w:rsidRPr="00B869A3">
              <w:rPr>
                <w:sz w:val="20"/>
                <w:szCs w:val="20"/>
                <w:lang w:eastAsia="cs-CZ"/>
              </w:rPr>
              <w:t>Mean</w:t>
            </w:r>
          </w:p>
        </w:tc>
        <w:tc>
          <w:tcPr>
            <w:tcW w:w="1089" w:type="dxa"/>
            <w:tcBorders>
              <w:top w:val="single" w:sz="4" w:space="0" w:color="auto"/>
              <w:left w:val="nil"/>
              <w:bottom w:val="nil"/>
              <w:right w:val="nil"/>
            </w:tcBorders>
            <w:shd w:val="clear" w:color="auto" w:fill="auto"/>
            <w:noWrap/>
            <w:hideMark/>
          </w:tcPr>
          <w:p w:rsidR="003A7606" w:rsidRPr="00B869A3" w:rsidRDefault="003A7606" w:rsidP="000C1EA6">
            <w:pPr>
              <w:rPr>
                <w:sz w:val="20"/>
                <w:szCs w:val="20"/>
                <w:lang w:eastAsia="cs-CZ"/>
              </w:rPr>
            </w:pPr>
            <w:r w:rsidRPr="00B869A3">
              <w:rPr>
                <w:sz w:val="20"/>
                <w:szCs w:val="20"/>
                <w:lang w:eastAsia="cs-CZ"/>
              </w:rPr>
              <w:t>0,60</w:t>
            </w:r>
          </w:p>
        </w:tc>
        <w:tc>
          <w:tcPr>
            <w:tcW w:w="1152" w:type="dxa"/>
            <w:tcBorders>
              <w:top w:val="single" w:sz="4" w:space="0" w:color="auto"/>
              <w:left w:val="nil"/>
              <w:bottom w:val="nil"/>
              <w:right w:val="nil"/>
            </w:tcBorders>
            <w:shd w:val="clear" w:color="auto" w:fill="auto"/>
            <w:noWrap/>
            <w:hideMark/>
          </w:tcPr>
          <w:p w:rsidR="003A7606" w:rsidRPr="00B869A3" w:rsidRDefault="003A7606" w:rsidP="000C1EA6">
            <w:pPr>
              <w:rPr>
                <w:sz w:val="20"/>
                <w:szCs w:val="20"/>
                <w:lang w:eastAsia="cs-CZ"/>
              </w:rPr>
            </w:pPr>
            <w:r w:rsidRPr="00B869A3">
              <w:rPr>
                <w:sz w:val="20"/>
                <w:szCs w:val="20"/>
                <w:lang w:eastAsia="cs-CZ"/>
              </w:rPr>
              <w:t>1,25</w:t>
            </w:r>
          </w:p>
        </w:tc>
        <w:tc>
          <w:tcPr>
            <w:tcW w:w="1194" w:type="dxa"/>
            <w:tcBorders>
              <w:top w:val="single" w:sz="4" w:space="0" w:color="auto"/>
              <w:left w:val="nil"/>
              <w:bottom w:val="nil"/>
              <w:right w:val="single" w:sz="4" w:space="0" w:color="auto"/>
            </w:tcBorders>
            <w:shd w:val="clear" w:color="auto" w:fill="auto"/>
            <w:noWrap/>
            <w:hideMark/>
          </w:tcPr>
          <w:p w:rsidR="003A7606" w:rsidRPr="00B869A3" w:rsidRDefault="003A7606" w:rsidP="000C1EA6">
            <w:pPr>
              <w:rPr>
                <w:sz w:val="20"/>
                <w:szCs w:val="20"/>
                <w:lang w:eastAsia="cs-CZ"/>
              </w:rPr>
            </w:pPr>
            <w:r w:rsidRPr="00B869A3">
              <w:rPr>
                <w:sz w:val="20"/>
                <w:szCs w:val="20"/>
                <w:lang w:eastAsia="cs-CZ"/>
              </w:rPr>
              <w:t>1,57</w:t>
            </w:r>
          </w:p>
        </w:tc>
      </w:tr>
      <w:tr w:rsidR="003A7606" w:rsidRPr="00CB5C00" w:rsidTr="00FF0D08">
        <w:trPr>
          <w:trHeight w:val="170"/>
        </w:trPr>
        <w:tc>
          <w:tcPr>
            <w:tcW w:w="3982" w:type="dxa"/>
            <w:tcBorders>
              <w:top w:val="nil"/>
              <w:left w:val="single" w:sz="4" w:space="0" w:color="auto"/>
              <w:bottom w:val="nil"/>
              <w:right w:val="nil"/>
            </w:tcBorders>
            <w:shd w:val="clear" w:color="auto" w:fill="auto"/>
            <w:noWrap/>
            <w:vAlign w:val="bottom"/>
            <w:hideMark/>
          </w:tcPr>
          <w:p w:rsidR="003A7606" w:rsidRPr="00B869A3" w:rsidRDefault="003A7606" w:rsidP="000C1EA6">
            <w:pPr>
              <w:rPr>
                <w:sz w:val="20"/>
                <w:szCs w:val="20"/>
                <w:lang w:eastAsia="cs-CZ"/>
              </w:rPr>
            </w:pPr>
            <w:r w:rsidRPr="00B869A3">
              <w:rPr>
                <w:sz w:val="20"/>
                <w:szCs w:val="20"/>
                <w:lang w:eastAsia="cs-CZ"/>
              </w:rPr>
              <w:t> </w:t>
            </w:r>
          </w:p>
        </w:tc>
        <w:tc>
          <w:tcPr>
            <w:tcW w:w="1655" w:type="dxa"/>
            <w:tcBorders>
              <w:top w:val="single" w:sz="4" w:space="0" w:color="AEAEAE"/>
              <w:left w:val="nil"/>
              <w:bottom w:val="nil"/>
              <w:right w:val="nil"/>
            </w:tcBorders>
            <w:shd w:val="clear" w:color="auto" w:fill="auto"/>
            <w:noWrap/>
            <w:hideMark/>
          </w:tcPr>
          <w:p w:rsidR="003A7606" w:rsidRPr="00B869A3" w:rsidRDefault="003A7606" w:rsidP="000C1EA6">
            <w:pPr>
              <w:rPr>
                <w:b/>
                <w:sz w:val="20"/>
                <w:szCs w:val="20"/>
                <w:lang w:eastAsia="cs-CZ"/>
              </w:rPr>
            </w:pPr>
            <w:r w:rsidRPr="00B869A3">
              <w:rPr>
                <w:b/>
                <w:sz w:val="20"/>
                <w:szCs w:val="20"/>
                <w:lang w:eastAsia="cs-CZ"/>
              </w:rPr>
              <w:t>5% Trimmed Mean</w:t>
            </w:r>
          </w:p>
        </w:tc>
        <w:tc>
          <w:tcPr>
            <w:tcW w:w="1089" w:type="dxa"/>
            <w:tcBorders>
              <w:top w:val="single" w:sz="4" w:space="0" w:color="AEAEAE"/>
              <w:left w:val="nil"/>
              <w:bottom w:val="nil"/>
              <w:right w:val="nil"/>
            </w:tcBorders>
            <w:shd w:val="clear" w:color="auto" w:fill="auto"/>
            <w:noWrap/>
            <w:hideMark/>
          </w:tcPr>
          <w:p w:rsidR="003A7606" w:rsidRPr="00B869A3" w:rsidRDefault="003A7606" w:rsidP="000C1EA6">
            <w:pPr>
              <w:rPr>
                <w:b/>
                <w:color w:val="FF0000"/>
                <w:sz w:val="20"/>
                <w:szCs w:val="20"/>
                <w:lang w:eastAsia="cs-CZ"/>
              </w:rPr>
            </w:pPr>
            <w:r w:rsidRPr="00B869A3">
              <w:rPr>
                <w:b/>
                <w:color w:val="FF0000"/>
                <w:sz w:val="20"/>
                <w:szCs w:val="20"/>
                <w:lang w:eastAsia="cs-CZ"/>
              </w:rPr>
              <w:t>0,32</w:t>
            </w:r>
          </w:p>
        </w:tc>
        <w:tc>
          <w:tcPr>
            <w:tcW w:w="1152" w:type="dxa"/>
            <w:tcBorders>
              <w:top w:val="single" w:sz="4" w:space="0" w:color="AEAEAE"/>
              <w:left w:val="nil"/>
              <w:bottom w:val="nil"/>
              <w:right w:val="nil"/>
            </w:tcBorders>
            <w:shd w:val="clear" w:color="auto" w:fill="auto"/>
            <w:noWrap/>
            <w:hideMark/>
          </w:tcPr>
          <w:p w:rsidR="003A7606" w:rsidRPr="00B869A3" w:rsidRDefault="003A7606" w:rsidP="000C1EA6">
            <w:pPr>
              <w:rPr>
                <w:b/>
                <w:color w:val="FF0000"/>
                <w:sz w:val="20"/>
                <w:szCs w:val="20"/>
                <w:lang w:eastAsia="cs-CZ"/>
              </w:rPr>
            </w:pPr>
            <w:r w:rsidRPr="00B869A3">
              <w:rPr>
                <w:b/>
                <w:color w:val="FF0000"/>
                <w:sz w:val="20"/>
                <w:szCs w:val="20"/>
                <w:lang w:eastAsia="cs-CZ"/>
              </w:rPr>
              <w:t>0,55</w:t>
            </w:r>
          </w:p>
        </w:tc>
        <w:tc>
          <w:tcPr>
            <w:tcW w:w="1194" w:type="dxa"/>
            <w:tcBorders>
              <w:top w:val="single" w:sz="4" w:space="0" w:color="AEAEAE"/>
              <w:left w:val="nil"/>
              <w:bottom w:val="nil"/>
              <w:right w:val="single" w:sz="4" w:space="0" w:color="auto"/>
            </w:tcBorders>
            <w:shd w:val="clear" w:color="auto" w:fill="auto"/>
            <w:noWrap/>
            <w:hideMark/>
          </w:tcPr>
          <w:p w:rsidR="003A7606" w:rsidRPr="00B869A3" w:rsidRDefault="003A7606" w:rsidP="000C1EA6">
            <w:pPr>
              <w:rPr>
                <w:b/>
                <w:color w:val="FF0000"/>
                <w:sz w:val="20"/>
                <w:szCs w:val="20"/>
                <w:lang w:eastAsia="cs-CZ"/>
              </w:rPr>
            </w:pPr>
            <w:r w:rsidRPr="00B869A3">
              <w:rPr>
                <w:b/>
                <w:color w:val="FF0000"/>
                <w:sz w:val="20"/>
                <w:szCs w:val="20"/>
                <w:lang w:eastAsia="cs-CZ"/>
              </w:rPr>
              <w:t>0,78</w:t>
            </w:r>
          </w:p>
        </w:tc>
      </w:tr>
      <w:tr w:rsidR="003A7606" w:rsidRPr="00CB5C00" w:rsidTr="00FF0D08">
        <w:trPr>
          <w:trHeight w:val="170"/>
        </w:trPr>
        <w:tc>
          <w:tcPr>
            <w:tcW w:w="3982" w:type="dxa"/>
            <w:tcBorders>
              <w:top w:val="nil"/>
              <w:left w:val="single" w:sz="4" w:space="0" w:color="auto"/>
              <w:bottom w:val="single" w:sz="4" w:space="0" w:color="auto"/>
              <w:right w:val="nil"/>
            </w:tcBorders>
            <w:shd w:val="clear" w:color="auto" w:fill="auto"/>
            <w:noWrap/>
            <w:vAlign w:val="bottom"/>
            <w:hideMark/>
          </w:tcPr>
          <w:p w:rsidR="003A7606" w:rsidRPr="00B869A3" w:rsidRDefault="003A7606" w:rsidP="000C1EA6">
            <w:pPr>
              <w:rPr>
                <w:sz w:val="20"/>
                <w:szCs w:val="20"/>
                <w:lang w:eastAsia="cs-CZ"/>
              </w:rPr>
            </w:pPr>
            <w:r w:rsidRPr="00B869A3">
              <w:rPr>
                <w:sz w:val="20"/>
                <w:szCs w:val="20"/>
                <w:lang w:eastAsia="cs-CZ"/>
              </w:rPr>
              <w:t> </w:t>
            </w:r>
          </w:p>
        </w:tc>
        <w:tc>
          <w:tcPr>
            <w:tcW w:w="1655" w:type="dxa"/>
            <w:tcBorders>
              <w:top w:val="single" w:sz="4" w:space="0" w:color="AEAEAE"/>
              <w:left w:val="nil"/>
              <w:bottom w:val="single" w:sz="4" w:space="0" w:color="auto"/>
              <w:right w:val="nil"/>
            </w:tcBorders>
            <w:shd w:val="clear" w:color="auto" w:fill="auto"/>
            <w:noWrap/>
            <w:hideMark/>
          </w:tcPr>
          <w:p w:rsidR="003A7606" w:rsidRPr="00B869A3" w:rsidRDefault="003A7606" w:rsidP="000C1EA6">
            <w:pPr>
              <w:rPr>
                <w:b/>
                <w:sz w:val="20"/>
                <w:szCs w:val="20"/>
                <w:lang w:eastAsia="cs-CZ"/>
              </w:rPr>
            </w:pPr>
            <w:r w:rsidRPr="00B869A3">
              <w:rPr>
                <w:b/>
                <w:sz w:val="20"/>
                <w:szCs w:val="20"/>
                <w:lang w:eastAsia="cs-CZ"/>
              </w:rPr>
              <w:t>Median</w:t>
            </w:r>
          </w:p>
        </w:tc>
        <w:tc>
          <w:tcPr>
            <w:tcW w:w="1089" w:type="dxa"/>
            <w:tcBorders>
              <w:top w:val="single" w:sz="4" w:space="0" w:color="AEAEAE"/>
              <w:left w:val="nil"/>
              <w:bottom w:val="single" w:sz="4" w:space="0" w:color="auto"/>
              <w:right w:val="nil"/>
            </w:tcBorders>
            <w:shd w:val="clear" w:color="auto" w:fill="auto"/>
            <w:noWrap/>
            <w:hideMark/>
          </w:tcPr>
          <w:p w:rsidR="003A7606" w:rsidRPr="00B869A3" w:rsidRDefault="003A7606" w:rsidP="000C1EA6">
            <w:pPr>
              <w:rPr>
                <w:b/>
                <w:color w:val="FF0000"/>
                <w:sz w:val="20"/>
                <w:szCs w:val="20"/>
                <w:lang w:eastAsia="cs-CZ"/>
              </w:rPr>
            </w:pPr>
            <w:r w:rsidRPr="00B869A3">
              <w:rPr>
                <w:b/>
                <w:color w:val="FF0000"/>
                <w:sz w:val="20"/>
                <w:szCs w:val="20"/>
                <w:lang w:eastAsia="cs-CZ"/>
              </w:rPr>
              <w:t>0,10</w:t>
            </w:r>
          </w:p>
        </w:tc>
        <w:tc>
          <w:tcPr>
            <w:tcW w:w="1152" w:type="dxa"/>
            <w:tcBorders>
              <w:top w:val="single" w:sz="4" w:space="0" w:color="AEAEAE"/>
              <w:left w:val="nil"/>
              <w:bottom w:val="single" w:sz="4" w:space="0" w:color="auto"/>
              <w:right w:val="nil"/>
            </w:tcBorders>
            <w:shd w:val="clear" w:color="auto" w:fill="auto"/>
            <w:noWrap/>
            <w:hideMark/>
          </w:tcPr>
          <w:p w:rsidR="003A7606" w:rsidRPr="00B869A3" w:rsidRDefault="003A7606" w:rsidP="000C1EA6">
            <w:pPr>
              <w:rPr>
                <w:b/>
                <w:color w:val="FF0000"/>
                <w:sz w:val="20"/>
                <w:szCs w:val="20"/>
                <w:lang w:eastAsia="cs-CZ"/>
              </w:rPr>
            </w:pPr>
            <w:r w:rsidRPr="00B869A3">
              <w:rPr>
                <w:b/>
                <w:color w:val="FF0000"/>
                <w:sz w:val="20"/>
                <w:szCs w:val="20"/>
                <w:lang w:eastAsia="cs-CZ"/>
              </w:rPr>
              <w:t>0,22</w:t>
            </w:r>
          </w:p>
        </w:tc>
        <w:tc>
          <w:tcPr>
            <w:tcW w:w="1194" w:type="dxa"/>
            <w:tcBorders>
              <w:top w:val="single" w:sz="4" w:space="0" w:color="AEAEAE"/>
              <w:left w:val="nil"/>
              <w:bottom w:val="single" w:sz="4" w:space="0" w:color="auto"/>
              <w:right w:val="single" w:sz="4" w:space="0" w:color="auto"/>
            </w:tcBorders>
            <w:shd w:val="clear" w:color="auto" w:fill="auto"/>
            <w:noWrap/>
            <w:hideMark/>
          </w:tcPr>
          <w:p w:rsidR="003A7606" w:rsidRPr="00B869A3" w:rsidRDefault="003A7606" w:rsidP="000C1EA6">
            <w:pPr>
              <w:rPr>
                <w:b/>
                <w:color w:val="FF0000"/>
                <w:sz w:val="20"/>
                <w:szCs w:val="20"/>
                <w:lang w:eastAsia="cs-CZ"/>
              </w:rPr>
            </w:pPr>
            <w:r w:rsidRPr="00B869A3">
              <w:rPr>
                <w:b/>
                <w:color w:val="FF0000"/>
                <w:sz w:val="20"/>
                <w:szCs w:val="20"/>
                <w:lang w:eastAsia="cs-CZ"/>
              </w:rPr>
              <w:t>0,27</w:t>
            </w:r>
          </w:p>
        </w:tc>
      </w:tr>
      <w:tr w:rsidR="003A7606" w:rsidRPr="00CB5C00" w:rsidTr="00FF0D08">
        <w:trPr>
          <w:trHeight w:val="170"/>
        </w:trPr>
        <w:tc>
          <w:tcPr>
            <w:tcW w:w="3982" w:type="dxa"/>
            <w:tcBorders>
              <w:top w:val="single" w:sz="4" w:space="0" w:color="auto"/>
              <w:left w:val="single" w:sz="4" w:space="0" w:color="auto"/>
              <w:bottom w:val="nil"/>
              <w:right w:val="nil"/>
            </w:tcBorders>
            <w:shd w:val="clear" w:color="auto" w:fill="auto"/>
            <w:noWrap/>
            <w:hideMark/>
          </w:tcPr>
          <w:p w:rsidR="003A7606" w:rsidRPr="00B869A3" w:rsidRDefault="003A7606" w:rsidP="000C1EA6">
            <w:pPr>
              <w:rPr>
                <w:sz w:val="20"/>
                <w:szCs w:val="20"/>
                <w:lang w:eastAsia="cs-CZ"/>
              </w:rPr>
            </w:pPr>
            <w:r w:rsidRPr="00B869A3">
              <w:rPr>
                <w:sz w:val="20"/>
                <w:szCs w:val="20"/>
                <w:lang w:eastAsia="cs-CZ"/>
              </w:rPr>
              <w:t>Podíl primárních NSPK</w:t>
            </w:r>
          </w:p>
        </w:tc>
        <w:tc>
          <w:tcPr>
            <w:tcW w:w="1655" w:type="dxa"/>
            <w:tcBorders>
              <w:top w:val="single" w:sz="4" w:space="0" w:color="auto"/>
              <w:left w:val="nil"/>
              <w:bottom w:val="nil"/>
              <w:right w:val="nil"/>
            </w:tcBorders>
            <w:shd w:val="clear" w:color="auto" w:fill="auto"/>
            <w:noWrap/>
            <w:hideMark/>
          </w:tcPr>
          <w:p w:rsidR="003A7606" w:rsidRPr="00B869A3" w:rsidRDefault="003A7606" w:rsidP="000C1EA6">
            <w:pPr>
              <w:rPr>
                <w:sz w:val="20"/>
                <w:szCs w:val="20"/>
                <w:lang w:eastAsia="cs-CZ"/>
              </w:rPr>
            </w:pPr>
            <w:r w:rsidRPr="00B869A3">
              <w:rPr>
                <w:sz w:val="20"/>
                <w:szCs w:val="20"/>
                <w:lang w:eastAsia="cs-CZ"/>
              </w:rPr>
              <w:t>Mean</w:t>
            </w:r>
          </w:p>
        </w:tc>
        <w:tc>
          <w:tcPr>
            <w:tcW w:w="1089" w:type="dxa"/>
            <w:tcBorders>
              <w:top w:val="single" w:sz="4" w:space="0" w:color="auto"/>
              <w:left w:val="nil"/>
              <w:bottom w:val="nil"/>
              <w:right w:val="nil"/>
            </w:tcBorders>
            <w:shd w:val="clear" w:color="auto" w:fill="auto"/>
            <w:noWrap/>
            <w:hideMark/>
          </w:tcPr>
          <w:p w:rsidR="003A7606" w:rsidRPr="00B869A3" w:rsidRDefault="003A7606" w:rsidP="000C1EA6">
            <w:pPr>
              <w:rPr>
                <w:sz w:val="20"/>
                <w:szCs w:val="20"/>
                <w:lang w:eastAsia="cs-CZ"/>
              </w:rPr>
            </w:pPr>
            <w:r w:rsidRPr="00B869A3">
              <w:rPr>
                <w:sz w:val="20"/>
                <w:szCs w:val="20"/>
                <w:lang w:eastAsia="cs-CZ"/>
              </w:rPr>
              <w:t>2,40</w:t>
            </w:r>
          </w:p>
        </w:tc>
        <w:tc>
          <w:tcPr>
            <w:tcW w:w="1152" w:type="dxa"/>
            <w:tcBorders>
              <w:top w:val="single" w:sz="4" w:space="0" w:color="auto"/>
              <w:left w:val="nil"/>
              <w:bottom w:val="nil"/>
              <w:right w:val="nil"/>
            </w:tcBorders>
            <w:shd w:val="clear" w:color="auto" w:fill="auto"/>
            <w:noWrap/>
            <w:hideMark/>
          </w:tcPr>
          <w:p w:rsidR="003A7606" w:rsidRPr="00B869A3" w:rsidRDefault="003A7606" w:rsidP="000C1EA6">
            <w:pPr>
              <w:rPr>
                <w:sz w:val="20"/>
                <w:szCs w:val="20"/>
                <w:lang w:eastAsia="cs-CZ"/>
              </w:rPr>
            </w:pPr>
            <w:r w:rsidRPr="00B869A3">
              <w:rPr>
                <w:sz w:val="20"/>
                <w:szCs w:val="20"/>
                <w:lang w:eastAsia="cs-CZ"/>
              </w:rPr>
              <w:t>3,24</w:t>
            </w:r>
          </w:p>
        </w:tc>
        <w:tc>
          <w:tcPr>
            <w:tcW w:w="1194" w:type="dxa"/>
            <w:tcBorders>
              <w:top w:val="single" w:sz="4" w:space="0" w:color="auto"/>
              <w:left w:val="nil"/>
              <w:bottom w:val="nil"/>
              <w:right w:val="single" w:sz="4" w:space="0" w:color="auto"/>
            </w:tcBorders>
            <w:shd w:val="clear" w:color="auto" w:fill="auto"/>
            <w:noWrap/>
            <w:hideMark/>
          </w:tcPr>
          <w:p w:rsidR="003A7606" w:rsidRPr="00B869A3" w:rsidRDefault="003A7606" w:rsidP="000C1EA6">
            <w:pPr>
              <w:rPr>
                <w:sz w:val="20"/>
                <w:szCs w:val="20"/>
                <w:lang w:eastAsia="cs-CZ"/>
              </w:rPr>
            </w:pPr>
            <w:r w:rsidRPr="00B869A3">
              <w:rPr>
                <w:sz w:val="20"/>
                <w:szCs w:val="20"/>
                <w:lang w:eastAsia="cs-CZ"/>
              </w:rPr>
              <w:t>2,48</w:t>
            </w:r>
          </w:p>
        </w:tc>
      </w:tr>
      <w:tr w:rsidR="003A7606" w:rsidRPr="00CB5C00" w:rsidTr="00FF0D08">
        <w:trPr>
          <w:trHeight w:val="170"/>
        </w:trPr>
        <w:tc>
          <w:tcPr>
            <w:tcW w:w="3982" w:type="dxa"/>
            <w:tcBorders>
              <w:top w:val="nil"/>
              <w:left w:val="single" w:sz="4" w:space="0" w:color="auto"/>
              <w:bottom w:val="nil"/>
              <w:right w:val="nil"/>
            </w:tcBorders>
            <w:shd w:val="clear" w:color="auto" w:fill="auto"/>
            <w:noWrap/>
            <w:vAlign w:val="bottom"/>
            <w:hideMark/>
          </w:tcPr>
          <w:p w:rsidR="003A7606" w:rsidRPr="00B869A3" w:rsidRDefault="003A7606" w:rsidP="000C1EA6">
            <w:pPr>
              <w:rPr>
                <w:sz w:val="20"/>
                <w:szCs w:val="20"/>
                <w:lang w:eastAsia="cs-CZ"/>
              </w:rPr>
            </w:pPr>
            <w:r w:rsidRPr="00B869A3">
              <w:rPr>
                <w:sz w:val="20"/>
                <w:szCs w:val="20"/>
                <w:lang w:eastAsia="cs-CZ"/>
              </w:rPr>
              <w:t> </w:t>
            </w:r>
          </w:p>
        </w:tc>
        <w:tc>
          <w:tcPr>
            <w:tcW w:w="1655" w:type="dxa"/>
            <w:tcBorders>
              <w:top w:val="single" w:sz="4" w:space="0" w:color="AEAEAE"/>
              <w:left w:val="nil"/>
              <w:bottom w:val="nil"/>
              <w:right w:val="nil"/>
            </w:tcBorders>
            <w:shd w:val="clear" w:color="auto" w:fill="auto"/>
            <w:noWrap/>
            <w:hideMark/>
          </w:tcPr>
          <w:p w:rsidR="003A7606" w:rsidRPr="00B869A3" w:rsidRDefault="003A7606" w:rsidP="000C1EA6">
            <w:pPr>
              <w:rPr>
                <w:b/>
                <w:sz w:val="20"/>
                <w:szCs w:val="20"/>
                <w:lang w:eastAsia="cs-CZ"/>
              </w:rPr>
            </w:pPr>
            <w:r w:rsidRPr="00B869A3">
              <w:rPr>
                <w:b/>
                <w:sz w:val="20"/>
                <w:szCs w:val="20"/>
                <w:lang w:eastAsia="cs-CZ"/>
              </w:rPr>
              <w:t>5% Trimmed Mean</w:t>
            </w:r>
          </w:p>
        </w:tc>
        <w:tc>
          <w:tcPr>
            <w:tcW w:w="1089" w:type="dxa"/>
            <w:tcBorders>
              <w:top w:val="single" w:sz="4" w:space="0" w:color="AEAEAE"/>
              <w:left w:val="nil"/>
              <w:bottom w:val="nil"/>
              <w:right w:val="nil"/>
            </w:tcBorders>
            <w:shd w:val="clear" w:color="auto" w:fill="auto"/>
            <w:noWrap/>
            <w:hideMark/>
          </w:tcPr>
          <w:p w:rsidR="003A7606" w:rsidRPr="00B869A3" w:rsidRDefault="003A7606" w:rsidP="000C1EA6">
            <w:pPr>
              <w:rPr>
                <w:b/>
                <w:color w:val="FF0000"/>
                <w:sz w:val="20"/>
                <w:szCs w:val="20"/>
                <w:lang w:eastAsia="cs-CZ"/>
              </w:rPr>
            </w:pPr>
            <w:r w:rsidRPr="00B869A3">
              <w:rPr>
                <w:b/>
                <w:color w:val="FF0000"/>
                <w:sz w:val="20"/>
                <w:szCs w:val="20"/>
                <w:lang w:eastAsia="cs-CZ"/>
              </w:rPr>
              <w:t>0,87</w:t>
            </w:r>
          </w:p>
        </w:tc>
        <w:tc>
          <w:tcPr>
            <w:tcW w:w="1152" w:type="dxa"/>
            <w:tcBorders>
              <w:top w:val="single" w:sz="4" w:space="0" w:color="AEAEAE"/>
              <w:left w:val="nil"/>
              <w:bottom w:val="nil"/>
              <w:right w:val="nil"/>
            </w:tcBorders>
            <w:shd w:val="clear" w:color="auto" w:fill="auto"/>
            <w:noWrap/>
            <w:hideMark/>
          </w:tcPr>
          <w:p w:rsidR="003A7606" w:rsidRPr="00B869A3" w:rsidRDefault="003A7606" w:rsidP="000C1EA6">
            <w:pPr>
              <w:rPr>
                <w:b/>
                <w:sz w:val="20"/>
                <w:szCs w:val="20"/>
                <w:lang w:eastAsia="cs-CZ"/>
              </w:rPr>
            </w:pPr>
            <w:r w:rsidRPr="00B869A3">
              <w:rPr>
                <w:b/>
                <w:sz w:val="20"/>
                <w:szCs w:val="20"/>
                <w:lang w:eastAsia="cs-CZ"/>
              </w:rPr>
              <w:t>1,18</w:t>
            </w:r>
          </w:p>
        </w:tc>
        <w:tc>
          <w:tcPr>
            <w:tcW w:w="1194" w:type="dxa"/>
            <w:tcBorders>
              <w:top w:val="single" w:sz="4" w:space="0" w:color="AEAEAE"/>
              <w:left w:val="nil"/>
              <w:bottom w:val="nil"/>
              <w:right w:val="single" w:sz="4" w:space="0" w:color="auto"/>
            </w:tcBorders>
            <w:shd w:val="clear" w:color="auto" w:fill="auto"/>
            <w:noWrap/>
            <w:hideMark/>
          </w:tcPr>
          <w:p w:rsidR="003A7606" w:rsidRPr="00B869A3" w:rsidRDefault="003A7606" w:rsidP="000C1EA6">
            <w:pPr>
              <w:rPr>
                <w:b/>
                <w:sz w:val="20"/>
                <w:szCs w:val="20"/>
                <w:lang w:eastAsia="cs-CZ"/>
              </w:rPr>
            </w:pPr>
            <w:r w:rsidRPr="00B869A3">
              <w:rPr>
                <w:b/>
                <w:sz w:val="20"/>
                <w:szCs w:val="20"/>
                <w:lang w:eastAsia="cs-CZ"/>
              </w:rPr>
              <w:t>1,29</w:t>
            </w:r>
          </w:p>
        </w:tc>
      </w:tr>
      <w:tr w:rsidR="003A7606" w:rsidRPr="00CB5C00" w:rsidTr="00FF0D08">
        <w:trPr>
          <w:trHeight w:val="170"/>
        </w:trPr>
        <w:tc>
          <w:tcPr>
            <w:tcW w:w="3982" w:type="dxa"/>
            <w:tcBorders>
              <w:top w:val="nil"/>
              <w:left w:val="single" w:sz="4" w:space="0" w:color="auto"/>
              <w:bottom w:val="single" w:sz="4" w:space="0" w:color="auto"/>
              <w:right w:val="nil"/>
            </w:tcBorders>
            <w:shd w:val="clear" w:color="auto" w:fill="auto"/>
            <w:noWrap/>
            <w:vAlign w:val="bottom"/>
            <w:hideMark/>
          </w:tcPr>
          <w:p w:rsidR="003A7606" w:rsidRPr="00B869A3" w:rsidRDefault="003A7606" w:rsidP="000C1EA6">
            <w:pPr>
              <w:rPr>
                <w:sz w:val="20"/>
                <w:szCs w:val="20"/>
                <w:lang w:eastAsia="cs-CZ"/>
              </w:rPr>
            </w:pPr>
            <w:r w:rsidRPr="00B869A3">
              <w:rPr>
                <w:sz w:val="20"/>
                <w:szCs w:val="20"/>
                <w:lang w:eastAsia="cs-CZ"/>
              </w:rPr>
              <w:t> </w:t>
            </w:r>
          </w:p>
        </w:tc>
        <w:tc>
          <w:tcPr>
            <w:tcW w:w="1655" w:type="dxa"/>
            <w:tcBorders>
              <w:top w:val="single" w:sz="4" w:space="0" w:color="AEAEAE"/>
              <w:left w:val="nil"/>
              <w:bottom w:val="single" w:sz="4" w:space="0" w:color="auto"/>
              <w:right w:val="nil"/>
            </w:tcBorders>
            <w:shd w:val="clear" w:color="auto" w:fill="auto"/>
            <w:noWrap/>
            <w:hideMark/>
          </w:tcPr>
          <w:p w:rsidR="003A7606" w:rsidRPr="00B869A3" w:rsidRDefault="003A7606" w:rsidP="000C1EA6">
            <w:pPr>
              <w:rPr>
                <w:b/>
                <w:sz w:val="20"/>
                <w:szCs w:val="20"/>
                <w:lang w:eastAsia="cs-CZ"/>
              </w:rPr>
            </w:pPr>
            <w:r w:rsidRPr="00B869A3">
              <w:rPr>
                <w:b/>
                <w:sz w:val="20"/>
                <w:szCs w:val="20"/>
                <w:lang w:eastAsia="cs-CZ"/>
              </w:rPr>
              <w:t>Median</w:t>
            </w:r>
          </w:p>
        </w:tc>
        <w:tc>
          <w:tcPr>
            <w:tcW w:w="1089" w:type="dxa"/>
            <w:tcBorders>
              <w:top w:val="single" w:sz="4" w:space="0" w:color="AEAEAE"/>
              <w:left w:val="nil"/>
              <w:bottom w:val="single" w:sz="4" w:space="0" w:color="auto"/>
              <w:right w:val="nil"/>
            </w:tcBorders>
            <w:shd w:val="clear" w:color="auto" w:fill="auto"/>
            <w:noWrap/>
            <w:hideMark/>
          </w:tcPr>
          <w:p w:rsidR="003A7606" w:rsidRPr="00B869A3" w:rsidRDefault="003A7606" w:rsidP="000C1EA6">
            <w:pPr>
              <w:rPr>
                <w:b/>
                <w:color w:val="FF0000"/>
                <w:sz w:val="20"/>
                <w:szCs w:val="20"/>
                <w:lang w:eastAsia="cs-CZ"/>
              </w:rPr>
            </w:pPr>
            <w:r w:rsidRPr="00B869A3">
              <w:rPr>
                <w:b/>
                <w:color w:val="FF0000"/>
                <w:sz w:val="20"/>
                <w:szCs w:val="20"/>
                <w:lang w:eastAsia="cs-CZ"/>
              </w:rPr>
              <w:t>0,68</w:t>
            </w:r>
          </w:p>
        </w:tc>
        <w:tc>
          <w:tcPr>
            <w:tcW w:w="1152" w:type="dxa"/>
            <w:tcBorders>
              <w:top w:val="single" w:sz="4" w:space="0" w:color="AEAEAE"/>
              <w:left w:val="nil"/>
              <w:bottom w:val="single" w:sz="4" w:space="0" w:color="auto"/>
              <w:right w:val="nil"/>
            </w:tcBorders>
            <w:shd w:val="clear" w:color="auto" w:fill="auto"/>
            <w:noWrap/>
            <w:hideMark/>
          </w:tcPr>
          <w:p w:rsidR="003A7606" w:rsidRPr="00B869A3" w:rsidRDefault="003A7606" w:rsidP="000C1EA6">
            <w:pPr>
              <w:rPr>
                <w:b/>
                <w:sz w:val="20"/>
                <w:szCs w:val="20"/>
                <w:lang w:eastAsia="cs-CZ"/>
              </w:rPr>
            </w:pPr>
            <w:r w:rsidRPr="00B869A3">
              <w:rPr>
                <w:b/>
                <w:sz w:val="20"/>
                <w:szCs w:val="20"/>
                <w:lang w:eastAsia="cs-CZ"/>
              </w:rPr>
              <w:t>0,92</w:t>
            </w:r>
          </w:p>
        </w:tc>
        <w:tc>
          <w:tcPr>
            <w:tcW w:w="1194" w:type="dxa"/>
            <w:tcBorders>
              <w:top w:val="single" w:sz="4" w:space="0" w:color="AEAEAE"/>
              <w:left w:val="nil"/>
              <w:bottom w:val="single" w:sz="4" w:space="0" w:color="auto"/>
              <w:right w:val="single" w:sz="4" w:space="0" w:color="auto"/>
            </w:tcBorders>
            <w:shd w:val="clear" w:color="auto" w:fill="auto"/>
            <w:noWrap/>
            <w:hideMark/>
          </w:tcPr>
          <w:p w:rsidR="003A7606" w:rsidRPr="00B869A3" w:rsidRDefault="003A7606" w:rsidP="000C1EA6">
            <w:pPr>
              <w:rPr>
                <w:b/>
                <w:sz w:val="20"/>
                <w:szCs w:val="20"/>
                <w:lang w:eastAsia="cs-CZ"/>
              </w:rPr>
            </w:pPr>
            <w:r w:rsidRPr="00B869A3">
              <w:rPr>
                <w:b/>
                <w:sz w:val="20"/>
                <w:szCs w:val="20"/>
                <w:lang w:eastAsia="cs-CZ"/>
              </w:rPr>
              <w:t>1,05</w:t>
            </w:r>
          </w:p>
        </w:tc>
      </w:tr>
      <w:tr w:rsidR="003A7606" w:rsidRPr="00CB5C00" w:rsidTr="00FF0D08">
        <w:trPr>
          <w:trHeight w:val="170"/>
        </w:trPr>
        <w:tc>
          <w:tcPr>
            <w:tcW w:w="3982" w:type="dxa"/>
            <w:tcBorders>
              <w:top w:val="single" w:sz="4" w:space="0" w:color="auto"/>
              <w:left w:val="single" w:sz="4" w:space="0" w:color="auto"/>
              <w:bottom w:val="nil"/>
              <w:right w:val="nil"/>
            </w:tcBorders>
            <w:shd w:val="clear" w:color="auto" w:fill="auto"/>
            <w:noWrap/>
            <w:hideMark/>
          </w:tcPr>
          <w:p w:rsidR="003A7606" w:rsidRPr="00B869A3" w:rsidRDefault="003A7606" w:rsidP="000C1EA6">
            <w:pPr>
              <w:rPr>
                <w:sz w:val="20"/>
                <w:szCs w:val="20"/>
                <w:lang w:eastAsia="cs-CZ"/>
              </w:rPr>
            </w:pPr>
            <w:r w:rsidRPr="00B869A3">
              <w:rPr>
                <w:sz w:val="20"/>
                <w:szCs w:val="20"/>
                <w:lang w:eastAsia="cs-CZ"/>
              </w:rPr>
              <w:t>Podíl NSPK</w:t>
            </w:r>
          </w:p>
        </w:tc>
        <w:tc>
          <w:tcPr>
            <w:tcW w:w="1655" w:type="dxa"/>
            <w:tcBorders>
              <w:top w:val="single" w:sz="4" w:space="0" w:color="auto"/>
              <w:left w:val="nil"/>
              <w:bottom w:val="nil"/>
              <w:right w:val="nil"/>
            </w:tcBorders>
            <w:shd w:val="clear" w:color="auto" w:fill="auto"/>
            <w:noWrap/>
            <w:hideMark/>
          </w:tcPr>
          <w:p w:rsidR="003A7606" w:rsidRPr="00B869A3" w:rsidRDefault="003A7606" w:rsidP="000C1EA6">
            <w:pPr>
              <w:rPr>
                <w:sz w:val="20"/>
                <w:szCs w:val="20"/>
                <w:lang w:eastAsia="cs-CZ"/>
              </w:rPr>
            </w:pPr>
            <w:r w:rsidRPr="00B869A3">
              <w:rPr>
                <w:sz w:val="20"/>
                <w:szCs w:val="20"/>
                <w:lang w:eastAsia="cs-CZ"/>
              </w:rPr>
              <w:t>Mean</w:t>
            </w:r>
          </w:p>
        </w:tc>
        <w:tc>
          <w:tcPr>
            <w:tcW w:w="1089" w:type="dxa"/>
            <w:tcBorders>
              <w:top w:val="single" w:sz="4" w:space="0" w:color="auto"/>
              <w:left w:val="nil"/>
              <w:bottom w:val="nil"/>
              <w:right w:val="nil"/>
            </w:tcBorders>
            <w:shd w:val="clear" w:color="auto" w:fill="auto"/>
            <w:noWrap/>
            <w:hideMark/>
          </w:tcPr>
          <w:p w:rsidR="003A7606" w:rsidRPr="00B869A3" w:rsidRDefault="003A7606" w:rsidP="000C1EA6">
            <w:pPr>
              <w:rPr>
                <w:sz w:val="20"/>
                <w:szCs w:val="20"/>
                <w:lang w:eastAsia="cs-CZ"/>
              </w:rPr>
            </w:pPr>
            <w:r w:rsidRPr="00B869A3">
              <w:rPr>
                <w:sz w:val="20"/>
                <w:szCs w:val="20"/>
                <w:lang w:eastAsia="cs-CZ"/>
              </w:rPr>
              <w:t>0,86</w:t>
            </w:r>
          </w:p>
        </w:tc>
        <w:tc>
          <w:tcPr>
            <w:tcW w:w="1152" w:type="dxa"/>
            <w:tcBorders>
              <w:top w:val="single" w:sz="4" w:space="0" w:color="auto"/>
              <w:left w:val="nil"/>
              <w:bottom w:val="nil"/>
              <w:right w:val="nil"/>
            </w:tcBorders>
            <w:shd w:val="clear" w:color="auto" w:fill="auto"/>
            <w:noWrap/>
            <w:hideMark/>
          </w:tcPr>
          <w:p w:rsidR="003A7606" w:rsidRPr="00B869A3" w:rsidRDefault="003A7606" w:rsidP="000C1EA6">
            <w:pPr>
              <w:rPr>
                <w:sz w:val="20"/>
                <w:szCs w:val="20"/>
                <w:lang w:eastAsia="cs-CZ"/>
              </w:rPr>
            </w:pPr>
            <w:r w:rsidRPr="00B869A3">
              <w:rPr>
                <w:sz w:val="20"/>
                <w:szCs w:val="20"/>
                <w:lang w:eastAsia="cs-CZ"/>
              </w:rPr>
              <w:t>1,27</w:t>
            </w:r>
          </w:p>
        </w:tc>
        <w:tc>
          <w:tcPr>
            <w:tcW w:w="1194" w:type="dxa"/>
            <w:tcBorders>
              <w:top w:val="single" w:sz="4" w:space="0" w:color="auto"/>
              <w:left w:val="nil"/>
              <w:bottom w:val="nil"/>
              <w:right w:val="single" w:sz="4" w:space="0" w:color="auto"/>
            </w:tcBorders>
            <w:shd w:val="clear" w:color="auto" w:fill="auto"/>
            <w:noWrap/>
            <w:hideMark/>
          </w:tcPr>
          <w:p w:rsidR="003A7606" w:rsidRPr="00B869A3" w:rsidRDefault="003A7606" w:rsidP="000C1EA6">
            <w:pPr>
              <w:rPr>
                <w:sz w:val="20"/>
                <w:szCs w:val="20"/>
                <w:lang w:eastAsia="cs-CZ"/>
              </w:rPr>
            </w:pPr>
            <w:r w:rsidRPr="00B869A3">
              <w:rPr>
                <w:sz w:val="20"/>
                <w:szCs w:val="20"/>
                <w:lang w:eastAsia="cs-CZ"/>
              </w:rPr>
              <w:t>1,45</w:t>
            </w:r>
          </w:p>
        </w:tc>
      </w:tr>
      <w:tr w:rsidR="003A7606" w:rsidRPr="00CB5C00" w:rsidTr="00FF0D08">
        <w:trPr>
          <w:trHeight w:val="170"/>
        </w:trPr>
        <w:tc>
          <w:tcPr>
            <w:tcW w:w="3982" w:type="dxa"/>
            <w:tcBorders>
              <w:top w:val="nil"/>
              <w:left w:val="single" w:sz="4" w:space="0" w:color="auto"/>
              <w:bottom w:val="nil"/>
              <w:right w:val="nil"/>
            </w:tcBorders>
            <w:shd w:val="clear" w:color="auto" w:fill="auto"/>
            <w:noWrap/>
            <w:vAlign w:val="bottom"/>
            <w:hideMark/>
          </w:tcPr>
          <w:p w:rsidR="003A7606" w:rsidRPr="00B869A3" w:rsidRDefault="003A7606" w:rsidP="000C1EA6">
            <w:pPr>
              <w:rPr>
                <w:sz w:val="20"/>
                <w:szCs w:val="20"/>
                <w:lang w:eastAsia="cs-CZ"/>
              </w:rPr>
            </w:pPr>
            <w:r w:rsidRPr="00B869A3">
              <w:rPr>
                <w:sz w:val="20"/>
                <w:szCs w:val="20"/>
                <w:lang w:eastAsia="cs-CZ"/>
              </w:rPr>
              <w:t> </w:t>
            </w:r>
          </w:p>
        </w:tc>
        <w:tc>
          <w:tcPr>
            <w:tcW w:w="1655" w:type="dxa"/>
            <w:tcBorders>
              <w:top w:val="single" w:sz="4" w:space="0" w:color="AEAEAE"/>
              <w:left w:val="nil"/>
              <w:bottom w:val="nil"/>
              <w:right w:val="nil"/>
            </w:tcBorders>
            <w:shd w:val="clear" w:color="auto" w:fill="auto"/>
            <w:noWrap/>
            <w:hideMark/>
          </w:tcPr>
          <w:p w:rsidR="003A7606" w:rsidRPr="00B869A3" w:rsidRDefault="003A7606" w:rsidP="000C1EA6">
            <w:pPr>
              <w:rPr>
                <w:b/>
                <w:sz w:val="20"/>
                <w:szCs w:val="20"/>
                <w:lang w:eastAsia="cs-CZ"/>
              </w:rPr>
            </w:pPr>
            <w:r w:rsidRPr="00B869A3">
              <w:rPr>
                <w:b/>
                <w:sz w:val="20"/>
                <w:szCs w:val="20"/>
                <w:lang w:eastAsia="cs-CZ"/>
              </w:rPr>
              <w:t>5% Trimmed Mean</w:t>
            </w:r>
          </w:p>
        </w:tc>
        <w:tc>
          <w:tcPr>
            <w:tcW w:w="1089" w:type="dxa"/>
            <w:tcBorders>
              <w:top w:val="single" w:sz="4" w:space="0" w:color="AEAEAE"/>
              <w:left w:val="nil"/>
              <w:bottom w:val="nil"/>
              <w:right w:val="nil"/>
            </w:tcBorders>
            <w:shd w:val="clear" w:color="auto" w:fill="auto"/>
            <w:noWrap/>
            <w:hideMark/>
          </w:tcPr>
          <w:p w:rsidR="003A7606" w:rsidRPr="00B869A3" w:rsidRDefault="003A7606" w:rsidP="000C1EA6">
            <w:pPr>
              <w:rPr>
                <w:b/>
                <w:color w:val="FF0000"/>
                <w:sz w:val="20"/>
                <w:szCs w:val="20"/>
                <w:lang w:eastAsia="cs-CZ"/>
              </w:rPr>
            </w:pPr>
            <w:r w:rsidRPr="00B869A3">
              <w:rPr>
                <w:b/>
                <w:color w:val="FF0000"/>
                <w:sz w:val="20"/>
                <w:szCs w:val="20"/>
                <w:lang w:eastAsia="cs-CZ"/>
              </w:rPr>
              <w:t>0,71</w:t>
            </w:r>
          </w:p>
        </w:tc>
        <w:tc>
          <w:tcPr>
            <w:tcW w:w="1152" w:type="dxa"/>
            <w:tcBorders>
              <w:top w:val="single" w:sz="4" w:space="0" w:color="AEAEAE"/>
              <w:left w:val="nil"/>
              <w:bottom w:val="nil"/>
              <w:right w:val="nil"/>
            </w:tcBorders>
            <w:shd w:val="clear" w:color="auto" w:fill="auto"/>
            <w:noWrap/>
            <w:hideMark/>
          </w:tcPr>
          <w:p w:rsidR="003A7606" w:rsidRPr="00B869A3" w:rsidRDefault="003A7606" w:rsidP="000C1EA6">
            <w:pPr>
              <w:rPr>
                <w:b/>
                <w:color w:val="FF0000"/>
                <w:sz w:val="20"/>
                <w:szCs w:val="20"/>
                <w:lang w:eastAsia="cs-CZ"/>
              </w:rPr>
            </w:pPr>
            <w:r w:rsidRPr="00B869A3">
              <w:rPr>
                <w:b/>
                <w:color w:val="FF0000"/>
                <w:sz w:val="20"/>
                <w:szCs w:val="20"/>
                <w:lang w:eastAsia="cs-CZ"/>
              </w:rPr>
              <w:t>0,97</w:t>
            </w:r>
          </w:p>
        </w:tc>
        <w:tc>
          <w:tcPr>
            <w:tcW w:w="1194" w:type="dxa"/>
            <w:tcBorders>
              <w:top w:val="single" w:sz="4" w:space="0" w:color="AEAEAE"/>
              <w:left w:val="nil"/>
              <w:bottom w:val="nil"/>
              <w:right w:val="single" w:sz="4" w:space="0" w:color="auto"/>
            </w:tcBorders>
            <w:shd w:val="clear" w:color="auto" w:fill="auto"/>
            <w:noWrap/>
            <w:hideMark/>
          </w:tcPr>
          <w:p w:rsidR="003A7606" w:rsidRPr="00B869A3" w:rsidRDefault="003A7606" w:rsidP="000C1EA6">
            <w:pPr>
              <w:rPr>
                <w:b/>
                <w:sz w:val="20"/>
                <w:szCs w:val="20"/>
                <w:lang w:eastAsia="cs-CZ"/>
              </w:rPr>
            </w:pPr>
            <w:r w:rsidRPr="00B869A3">
              <w:rPr>
                <w:b/>
                <w:sz w:val="20"/>
                <w:szCs w:val="20"/>
                <w:lang w:eastAsia="cs-CZ"/>
              </w:rPr>
              <w:t>1,06</w:t>
            </w:r>
          </w:p>
        </w:tc>
      </w:tr>
      <w:tr w:rsidR="003A7606" w:rsidRPr="00CB5C00" w:rsidTr="00FF0D08">
        <w:trPr>
          <w:trHeight w:val="170"/>
        </w:trPr>
        <w:tc>
          <w:tcPr>
            <w:tcW w:w="3982" w:type="dxa"/>
            <w:tcBorders>
              <w:top w:val="nil"/>
              <w:left w:val="single" w:sz="4" w:space="0" w:color="auto"/>
              <w:bottom w:val="single" w:sz="4" w:space="0" w:color="auto"/>
              <w:right w:val="nil"/>
            </w:tcBorders>
            <w:shd w:val="clear" w:color="auto" w:fill="auto"/>
            <w:noWrap/>
            <w:vAlign w:val="bottom"/>
            <w:hideMark/>
          </w:tcPr>
          <w:p w:rsidR="003A7606" w:rsidRPr="00B869A3" w:rsidRDefault="003A7606" w:rsidP="000C1EA6">
            <w:pPr>
              <w:rPr>
                <w:sz w:val="20"/>
                <w:szCs w:val="20"/>
                <w:lang w:eastAsia="cs-CZ"/>
              </w:rPr>
            </w:pPr>
            <w:r w:rsidRPr="00B869A3">
              <w:rPr>
                <w:sz w:val="20"/>
                <w:szCs w:val="20"/>
                <w:lang w:eastAsia="cs-CZ"/>
              </w:rPr>
              <w:t> </w:t>
            </w:r>
          </w:p>
        </w:tc>
        <w:tc>
          <w:tcPr>
            <w:tcW w:w="1655" w:type="dxa"/>
            <w:tcBorders>
              <w:top w:val="single" w:sz="4" w:space="0" w:color="AEAEAE"/>
              <w:left w:val="nil"/>
              <w:bottom w:val="single" w:sz="4" w:space="0" w:color="auto"/>
              <w:right w:val="nil"/>
            </w:tcBorders>
            <w:shd w:val="clear" w:color="auto" w:fill="auto"/>
            <w:noWrap/>
            <w:hideMark/>
          </w:tcPr>
          <w:p w:rsidR="003A7606" w:rsidRPr="00B869A3" w:rsidRDefault="003A7606" w:rsidP="000C1EA6">
            <w:pPr>
              <w:rPr>
                <w:b/>
                <w:sz w:val="20"/>
                <w:szCs w:val="20"/>
                <w:lang w:eastAsia="cs-CZ"/>
              </w:rPr>
            </w:pPr>
            <w:r w:rsidRPr="00B869A3">
              <w:rPr>
                <w:b/>
                <w:sz w:val="20"/>
                <w:szCs w:val="20"/>
                <w:lang w:eastAsia="cs-CZ"/>
              </w:rPr>
              <w:t>Median</w:t>
            </w:r>
          </w:p>
        </w:tc>
        <w:tc>
          <w:tcPr>
            <w:tcW w:w="1089" w:type="dxa"/>
            <w:tcBorders>
              <w:top w:val="single" w:sz="4" w:space="0" w:color="AEAEAE"/>
              <w:left w:val="nil"/>
              <w:bottom w:val="single" w:sz="4" w:space="0" w:color="auto"/>
              <w:right w:val="nil"/>
            </w:tcBorders>
            <w:shd w:val="clear" w:color="auto" w:fill="auto"/>
            <w:noWrap/>
            <w:hideMark/>
          </w:tcPr>
          <w:p w:rsidR="003A7606" w:rsidRPr="00B869A3" w:rsidRDefault="003A7606" w:rsidP="000C1EA6">
            <w:pPr>
              <w:rPr>
                <w:b/>
                <w:color w:val="FF0000"/>
                <w:sz w:val="20"/>
                <w:szCs w:val="20"/>
                <w:lang w:eastAsia="cs-CZ"/>
              </w:rPr>
            </w:pPr>
            <w:r w:rsidRPr="00B869A3">
              <w:rPr>
                <w:b/>
                <w:color w:val="FF0000"/>
                <w:sz w:val="20"/>
                <w:szCs w:val="20"/>
                <w:lang w:eastAsia="cs-CZ"/>
              </w:rPr>
              <w:t>0,64</w:t>
            </w:r>
          </w:p>
        </w:tc>
        <w:tc>
          <w:tcPr>
            <w:tcW w:w="1152" w:type="dxa"/>
            <w:tcBorders>
              <w:top w:val="single" w:sz="4" w:space="0" w:color="AEAEAE"/>
              <w:left w:val="nil"/>
              <w:bottom w:val="single" w:sz="4" w:space="0" w:color="auto"/>
              <w:right w:val="nil"/>
            </w:tcBorders>
            <w:shd w:val="clear" w:color="auto" w:fill="auto"/>
            <w:noWrap/>
            <w:hideMark/>
          </w:tcPr>
          <w:p w:rsidR="003A7606" w:rsidRPr="00B869A3" w:rsidRDefault="003A7606" w:rsidP="000C1EA6">
            <w:pPr>
              <w:rPr>
                <w:b/>
                <w:color w:val="FF0000"/>
                <w:sz w:val="20"/>
                <w:szCs w:val="20"/>
                <w:lang w:eastAsia="cs-CZ"/>
              </w:rPr>
            </w:pPr>
            <w:r w:rsidRPr="00B869A3">
              <w:rPr>
                <w:b/>
                <w:color w:val="FF0000"/>
                <w:sz w:val="20"/>
                <w:szCs w:val="20"/>
                <w:lang w:eastAsia="cs-CZ"/>
              </w:rPr>
              <w:t>0,87</w:t>
            </w:r>
          </w:p>
        </w:tc>
        <w:tc>
          <w:tcPr>
            <w:tcW w:w="1194" w:type="dxa"/>
            <w:tcBorders>
              <w:top w:val="single" w:sz="4" w:space="0" w:color="AEAEAE"/>
              <w:left w:val="nil"/>
              <w:bottom w:val="single" w:sz="4" w:space="0" w:color="auto"/>
              <w:right w:val="single" w:sz="4" w:space="0" w:color="auto"/>
            </w:tcBorders>
            <w:shd w:val="clear" w:color="auto" w:fill="auto"/>
            <w:noWrap/>
            <w:hideMark/>
          </w:tcPr>
          <w:p w:rsidR="003A7606" w:rsidRPr="00B869A3" w:rsidRDefault="003A7606" w:rsidP="000C1EA6">
            <w:pPr>
              <w:rPr>
                <w:b/>
                <w:sz w:val="20"/>
                <w:szCs w:val="20"/>
                <w:lang w:eastAsia="cs-CZ"/>
              </w:rPr>
            </w:pPr>
            <w:r w:rsidRPr="00B869A3">
              <w:rPr>
                <w:b/>
                <w:sz w:val="20"/>
                <w:szCs w:val="20"/>
                <w:lang w:eastAsia="cs-CZ"/>
              </w:rPr>
              <w:t>0,98</w:t>
            </w:r>
          </w:p>
        </w:tc>
      </w:tr>
    </w:tbl>
    <w:p w:rsidR="00E01698" w:rsidRDefault="00E01698" w:rsidP="000C1EA6"/>
    <w:p w:rsidR="009B43E3" w:rsidRDefault="00ED1D7C" w:rsidP="000C1EA6">
      <w:r w:rsidRPr="00CB5C00">
        <w:t>Podíl hotovosti na nutné hotovosti (jako jiný pohled na ukazatel okamžité likvidity) je analyzován na dvou úrovních. Základní úroveň tvoří minimální požadavek na úroveň okamžité likvidity ve výši 15</w:t>
      </w:r>
      <w:r w:rsidR="00AA02EE" w:rsidRPr="00CB5C00">
        <w:t> </w:t>
      </w:r>
      <w:r w:rsidRPr="00CB5C00">
        <w:t>%, druhou úroveň tvoří požadavek na tento ukazatel ve výši 20</w:t>
      </w:r>
      <w:r w:rsidR="00AA02EE" w:rsidRPr="00CB5C00">
        <w:t> </w:t>
      </w:r>
      <w:r w:rsidRPr="00CB5C00">
        <w:t>%. U obou ukazatelů je patrné, že podniky s blížícím se úpadkem výrazně ztrácejí nutnou hotovost.</w:t>
      </w:r>
      <w:r w:rsidR="00AA02EE" w:rsidRPr="00CB5C00">
        <w:t xml:space="preserve"> Úrovně požadavku na ukazatel okamžité likvidity ve výši 20 % pak ani v průměru úpadkové podniky nedosahují ani tři roky před zjištěním úpadku.</w:t>
      </w:r>
      <w:r w:rsidR="00770AEC" w:rsidRPr="00CB5C00">
        <w:t xml:space="preserve"> Podíl aktivních a pasivních primárních NSPK je jeden rok před úpadkem v průměru menší než jedna, což znamená, že </w:t>
      </w:r>
      <w:r w:rsidR="00770AEC" w:rsidRPr="00CB5C00">
        <w:lastRenderedPageBreak/>
        <w:t>pasivní primární složky NSPK převyšují aktivní. U celkových NSPK je pak situace taková, že již dva roky před úpadkem v průměru pasivní NSPK převyšují aktivní. To nasvědčuje situaci, kdy na zhoršující se úroveň tohoto ukazatele mají vliv NSPK, které nesouvisí s primární obchodní (provozní) činností.</w:t>
      </w:r>
    </w:p>
    <w:p w:rsidR="00136B14" w:rsidRDefault="00136B14" w:rsidP="005A5A62">
      <w:pPr>
        <w:pStyle w:val="Nadpis4"/>
        <w:numPr>
          <w:ilvl w:val="3"/>
          <w:numId w:val="15"/>
        </w:numPr>
      </w:pPr>
      <w:r w:rsidRPr="00CF225B">
        <w:t>Zadlužení</w:t>
      </w:r>
    </w:p>
    <w:p w:rsidR="00FF0D08" w:rsidRPr="00FF0D08" w:rsidRDefault="00FF0D08" w:rsidP="00FF0D08"/>
    <w:p w:rsidR="00B67E2E" w:rsidRDefault="00B67E2E" w:rsidP="00B67E2E">
      <w:pPr>
        <w:pStyle w:val="Titulek"/>
        <w:keepNext/>
      </w:pPr>
      <w:bookmarkStart w:id="110" w:name="_Toc31054815"/>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39</w:t>
      </w:r>
      <w:r w:rsidR="00163A91">
        <w:rPr>
          <w:noProof/>
        </w:rPr>
        <w:fldChar w:fldCharType="end"/>
      </w:r>
      <w:r>
        <w:t xml:space="preserve"> Zadlužení</w:t>
      </w:r>
      <w:bookmarkEnd w:id="110"/>
    </w:p>
    <w:tbl>
      <w:tblPr>
        <w:tblW w:w="9072" w:type="dxa"/>
        <w:tblCellMar>
          <w:left w:w="70" w:type="dxa"/>
          <w:right w:w="70" w:type="dxa"/>
        </w:tblCellMar>
        <w:tblLook w:val="04A0"/>
      </w:tblPr>
      <w:tblGrid>
        <w:gridCol w:w="3982"/>
        <w:gridCol w:w="1655"/>
        <w:gridCol w:w="1089"/>
        <w:gridCol w:w="1152"/>
        <w:gridCol w:w="1194"/>
      </w:tblGrid>
      <w:tr w:rsidR="003A7606" w:rsidRPr="000C1EA6" w:rsidTr="003D6909">
        <w:trPr>
          <w:trHeight w:val="170"/>
        </w:trPr>
        <w:tc>
          <w:tcPr>
            <w:tcW w:w="3982" w:type="dxa"/>
            <w:tcBorders>
              <w:top w:val="single" w:sz="4" w:space="0" w:color="auto"/>
              <w:left w:val="single" w:sz="4" w:space="0" w:color="auto"/>
              <w:bottom w:val="single" w:sz="4" w:space="0" w:color="auto"/>
              <w:right w:val="nil"/>
            </w:tcBorders>
            <w:shd w:val="clear" w:color="auto" w:fill="auto"/>
            <w:noWrap/>
            <w:vAlign w:val="bottom"/>
            <w:hideMark/>
          </w:tcPr>
          <w:p w:rsidR="003A7606" w:rsidRPr="000C1EA6" w:rsidRDefault="003A7606" w:rsidP="00E01698">
            <w:pPr>
              <w:rPr>
                <w:sz w:val="20"/>
                <w:szCs w:val="20"/>
                <w:lang w:eastAsia="cs-CZ"/>
              </w:rPr>
            </w:pPr>
            <w:r w:rsidRPr="000C1EA6">
              <w:rPr>
                <w:sz w:val="20"/>
                <w:szCs w:val="20"/>
                <w:lang w:eastAsia="cs-CZ"/>
              </w:rPr>
              <w:t> </w:t>
            </w:r>
          </w:p>
        </w:tc>
        <w:tc>
          <w:tcPr>
            <w:tcW w:w="1655" w:type="dxa"/>
            <w:tcBorders>
              <w:top w:val="single" w:sz="4" w:space="0" w:color="auto"/>
              <w:left w:val="nil"/>
              <w:bottom w:val="single" w:sz="4" w:space="0" w:color="auto"/>
              <w:right w:val="nil"/>
            </w:tcBorders>
            <w:shd w:val="clear" w:color="auto" w:fill="auto"/>
            <w:noWrap/>
            <w:vAlign w:val="bottom"/>
            <w:hideMark/>
          </w:tcPr>
          <w:p w:rsidR="003A7606" w:rsidRPr="000C1EA6" w:rsidRDefault="003A7606" w:rsidP="00E01698">
            <w:pPr>
              <w:rPr>
                <w:sz w:val="20"/>
                <w:szCs w:val="20"/>
                <w:lang w:eastAsia="cs-CZ"/>
              </w:rPr>
            </w:pPr>
            <w:r w:rsidRPr="000C1EA6">
              <w:rPr>
                <w:sz w:val="20"/>
                <w:szCs w:val="20"/>
                <w:lang w:eastAsia="cs-CZ"/>
              </w:rPr>
              <w:t> </w:t>
            </w:r>
          </w:p>
        </w:tc>
        <w:tc>
          <w:tcPr>
            <w:tcW w:w="1089" w:type="dxa"/>
            <w:tcBorders>
              <w:top w:val="single" w:sz="4" w:space="0" w:color="auto"/>
              <w:left w:val="nil"/>
              <w:bottom w:val="single" w:sz="4" w:space="0" w:color="auto"/>
              <w:right w:val="nil"/>
            </w:tcBorders>
            <w:shd w:val="clear" w:color="auto" w:fill="auto"/>
            <w:vAlign w:val="bottom"/>
            <w:hideMark/>
          </w:tcPr>
          <w:p w:rsidR="003A7606" w:rsidRPr="000C1EA6" w:rsidRDefault="003A7606" w:rsidP="00E01698">
            <w:pPr>
              <w:rPr>
                <w:color w:val="264A60"/>
                <w:sz w:val="20"/>
                <w:szCs w:val="20"/>
                <w:lang w:eastAsia="cs-CZ"/>
              </w:rPr>
            </w:pPr>
            <w:r w:rsidRPr="000C1EA6">
              <w:rPr>
                <w:color w:val="264A60"/>
                <w:sz w:val="20"/>
                <w:szCs w:val="20"/>
                <w:lang w:eastAsia="cs-CZ"/>
              </w:rPr>
              <w:t>1 rok před úpadkem</w:t>
            </w:r>
          </w:p>
        </w:tc>
        <w:tc>
          <w:tcPr>
            <w:tcW w:w="1152" w:type="dxa"/>
            <w:tcBorders>
              <w:top w:val="single" w:sz="4" w:space="0" w:color="auto"/>
              <w:left w:val="nil"/>
              <w:bottom w:val="single" w:sz="4" w:space="0" w:color="auto"/>
              <w:right w:val="nil"/>
            </w:tcBorders>
            <w:shd w:val="clear" w:color="auto" w:fill="auto"/>
            <w:vAlign w:val="bottom"/>
            <w:hideMark/>
          </w:tcPr>
          <w:p w:rsidR="003A7606" w:rsidRPr="000C1EA6" w:rsidRDefault="003A7606" w:rsidP="00E01698">
            <w:pPr>
              <w:rPr>
                <w:color w:val="264A60"/>
                <w:sz w:val="20"/>
                <w:szCs w:val="20"/>
                <w:lang w:eastAsia="cs-CZ"/>
              </w:rPr>
            </w:pPr>
            <w:r w:rsidRPr="000C1EA6">
              <w:rPr>
                <w:color w:val="264A60"/>
                <w:sz w:val="20"/>
                <w:szCs w:val="20"/>
                <w:lang w:eastAsia="cs-CZ"/>
              </w:rPr>
              <w:t>2 roky před úpadkem</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3A7606" w:rsidRPr="000C1EA6" w:rsidRDefault="003A7606" w:rsidP="00E01698">
            <w:pPr>
              <w:rPr>
                <w:color w:val="264A60"/>
                <w:sz w:val="20"/>
                <w:szCs w:val="20"/>
                <w:lang w:eastAsia="cs-CZ"/>
              </w:rPr>
            </w:pPr>
            <w:r w:rsidRPr="000C1EA6">
              <w:rPr>
                <w:color w:val="264A60"/>
                <w:sz w:val="20"/>
                <w:szCs w:val="20"/>
                <w:lang w:eastAsia="cs-CZ"/>
              </w:rPr>
              <w:t>3 roky před úpadkem</w:t>
            </w:r>
          </w:p>
        </w:tc>
      </w:tr>
      <w:tr w:rsidR="003A7606" w:rsidRPr="000C1EA6" w:rsidTr="003D6909">
        <w:trPr>
          <w:trHeight w:val="170"/>
        </w:trPr>
        <w:tc>
          <w:tcPr>
            <w:tcW w:w="3982" w:type="dxa"/>
            <w:tcBorders>
              <w:top w:val="nil"/>
              <w:left w:val="single" w:sz="4" w:space="0" w:color="auto"/>
              <w:bottom w:val="nil"/>
              <w:right w:val="nil"/>
            </w:tcBorders>
            <w:shd w:val="clear" w:color="auto" w:fill="auto"/>
            <w:noWrap/>
            <w:hideMark/>
          </w:tcPr>
          <w:p w:rsidR="003A7606" w:rsidRPr="000C1EA6" w:rsidRDefault="003A7606" w:rsidP="00E01698">
            <w:pPr>
              <w:rPr>
                <w:color w:val="010205"/>
                <w:sz w:val="20"/>
                <w:szCs w:val="20"/>
                <w:lang w:eastAsia="cs-CZ"/>
              </w:rPr>
            </w:pPr>
            <w:r w:rsidRPr="000C1EA6">
              <w:rPr>
                <w:color w:val="010205"/>
                <w:sz w:val="20"/>
                <w:szCs w:val="20"/>
                <w:lang w:eastAsia="cs-CZ"/>
              </w:rPr>
              <w:t>Celková zadluženost</w:t>
            </w:r>
          </w:p>
        </w:tc>
        <w:tc>
          <w:tcPr>
            <w:tcW w:w="1655" w:type="dxa"/>
            <w:tcBorders>
              <w:top w:val="nil"/>
              <w:left w:val="nil"/>
              <w:bottom w:val="nil"/>
              <w:right w:val="nil"/>
            </w:tcBorders>
            <w:shd w:val="clear" w:color="auto" w:fill="auto"/>
            <w:noWrap/>
            <w:hideMark/>
          </w:tcPr>
          <w:p w:rsidR="003A7606" w:rsidRPr="000C1EA6" w:rsidRDefault="003A7606" w:rsidP="00E01698">
            <w:pPr>
              <w:rPr>
                <w:color w:val="010205"/>
                <w:sz w:val="20"/>
                <w:szCs w:val="20"/>
                <w:lang w:eastAsia="cs-CZ"/>
              </w:rPr>
            </w:pPr>
            <w:r w:rsidRPr="000C1EA6">
              <w:rPr>
                <w:color w:val="010205"/>
                <w:sz w:val="20"/>
                <w:szCs w:val="20"/>
                <w:lang w:eastAsia="cs-CZ"/>
              </w:rPr>
              <w:t>Mean</w:t>
            </w:r>
          </w:p>
        </w:tc>
        <w:tc>
          <w:tcPr>
            <w:tcW w:w="1089" w:type="dxa"/>
            <w:tcBorders>
              <w:top w:val="nil"/>
              <w:left w:val="nil"/>
              <w:bottom w:val="nil"/>
              <w:right w:val="nil"/>
            </w:tcBorders>
            <w:shd w:val="clear" w:color="auto" w:fill="auto"/>
            <w:noWrap/>
            <w:hideMark/>
          </w:tcPr>
          <w:p w:rsidR="003A7606" w:rsidRPr="000C1EA6" w:rsidRDefault="003A7606" w:rsidP="00E01698">
            <w:pPr>
              <w:rPr>
                <w:color w:val="010205"/>
                <w:sz w:val="20"/>
                <w:szCs w:val="20"/>
                <w:lang w:eastAsia="cs-CZ"/>
              </w:rPr>
            </w:pPr>
            <w:r w:rsidRPr="000C1EA6">
              <w:rPr>
                <w:color w:val="010205"/>
                <w:sz w:val="20"/>
                <w:szCs w:val="20"/>
                <w:lang w:eastAsia="cs-CZ"/>
              </w:rPr>
              <w:t>4,49</w:t>
            </w:r>
          </w:p>
        </w:tc>
        <w:tc>
          <w:tcPr>
            <w:tcW w:w="1152" w:type="dxa"/>
            <w:tcBorders>
              <w:top w:val="nil"/>
              <w:left w:val="nil"/>
              <w:bottom w:val="nil"/>
              <w:right w:val="nil"/>
            </w:tcBorders>
            <w:shd w:val="clear" w:color="auto" w:fill="auto"/>
            <w:noWrap/>
            <w:hideMark/>
          </w:tcPr>
          <w:p w:rsidR="003A7606" w:rsidRPr="000C1EA6" w:rsidRDefault="003A7606" w:rsidP="00E01698">
            <w:pPr>
              <w:rPr>
                <w:color w:val="010205"/>
                <w:sz w:val="20"/>
                <w:szCs w:val="20"/>
                <w:lang w:eastAsia="cs-CZ"/>
              </w:rPr>
            </w:pPr>
            <w:r w:rsidRPr="000C1EA6">
              <w:rPr>
                <w:color w:val="010205"/>
                <w:sz w:val="20"/>
                <w:szCs w:val="20"/>
                <w:lang w:eastAsia="cs-CZ"/>
              </w:rPr>
              <w:t>1,45</w:t>
            </w:r>
          </w:p>
        </w:tc>
        <w:tc>
          <w:tcPr>
            <w:tcW w:w="1194" w:type="dxa"/>
            <w:tcBorders>
              <w:top w:val="nil"/>
              <w:left w:val="nil"/>
              <w:bottom w:val="nil"/>
              <w:right w:val="single" w:sz="4" w:space="0" w:color="auto"/>
            </w:tcBorders>
            <w:shd w:val="clear" w:color="auto" w:fill="auto"/>
            <w:noWrap/>
            <w:hideMark/>
          </w:tcPr>
          <w:p w:rsidR="003A7606" w:rsidRPr="000C1EA6" w:rsidRDefault="003A7606" w:rsidP="00E01698">
            <w:pPr>
              <w:rPr>
                <w:color w:val="010205"/>
                <w:sz w:val="20"/>
                <w:szCs w:val="20"/>
                <w:lang w:eastAsia="cs-CZ"/>
              </w:rPr>
            </w:pPr>
            <w:r w:rsidRPr="000C1EA6">
              <w:rPr>
                <w:color w:val="010205"/>
                <w:sz w:val="20"/>
                <w:szCs w:val="20"/>
                <w:lang w:eastAsia="cs-CZ"/>
              </w:rPr>
              <w:t>1,26</w:t>
            </w:r>
          </w:p>
        </w:tc>
      </w:tr>
      <w:tr w:rsidR="003A7606" w:rsidRPr="000C1EA6" w:rsidTr="003D6909">
        <w:trPr>
          <w:trHeight w:val="170"/>
        </w:trPr>
        <w:tc>
          <w:tcPr>
            <w:tcW w:w="3982" w:type="dxa"/>
            <w:tcBorders>
              <w:top w:val="nil"/>
              <w:left w:val="single" w:sz="4" w:space="0" w:color="auto"/>
              <w:bottom w:val="nil"/>
              <w:right w:val="nil"/>
            </w:tcBorders>
            <w:shd w:val="clear" w:color="auto" w:fill="auto"/>
            <w:noWrap/>
            <w:vAlign w:val="bottom"/>
            <w:hideMark/>
          </w:tcPr>
          <w:p w:rsidR="003A7606" w:rsidRPr="000C1EA6" w:rsidRDefault="003A7606" w:rsidP="00E01698">
            <w:pPr>
              <w:rPr>
                <w:sz w:val="20"/>
                <w:szCs w:val="20"/>
                <w:lang w:eastAsia="cs-CZ"/>
              </w:rPr>
            </w:pPr>
            <w:r w:rsidRPr="000C1EA6">
              <w:rPr>
                <w:sz w:val="20"/>
                <w:szCs w:val="20"/>
                <w:lang w:eastAsia="cs-CZ"/>
              </w:rPr>
              <w:t> </w:t>
            </w:r>
          </w:p>
        </w:tc>
        <w:tc>
          <w:tcPr>
            <w:tcW w:w="1655" w:type="dxa"/>
            <w:tcBorders>
              <w:top w:val="single" w:sz="4" w:space="0" w:color="AEAEAE"/>
              <w:left w:val="nil"/>
              <w:bottom w:val="nil"/>
              <w:right w:val="nil"/>
            </w:tcBorders>
            <w:shd w:val="clear" w:color="auto" w:fill="auto"/>
            <w:noWrap/>
            <w:hideMark/>
          </w:tcPr>
          <w:p w:rsidR="003A7606" w:rsidRPr="000C1EA6" w:rsidRDefault="003A7606" w:rsidP="00E01698">
            <w:pPr>
              <w:rPr>
                <w:b/>
                <w:color w:val="010205"/>
                <w:sz w:val="20"/>
                <w:szCs w:val="20"/>
                <w:lang w:eastAsia="cs-CZ"/>
              </w:rPr>
            </w:pPr>
            <w:r w:rsidRPr="000C1EA6">
              <w:rPr>
                <w:b/>
                <w:color w:val="010205"/>
                <w:sz w:val="20"/>
                <w:szCs w:val="20"/>
                <w:lang w:eastAsia="cs-CZ"/>
              </w:rPr>
              <w:t>5% Trimmed Mean</w:t>
            </w:r>
          </w:p>
        </w:tc>
        <w:tc>
          <w:tcPr>
            <w:tcW w:w="1089" w:type="dxa"/>
            <w:tcBorders>
              <w:top w:val="single" w:sz="4" w:space="0" w:color="AEAEAE"/>
              <w:left w:val="nil"/>
              <w:bottom w:val="nil"/>
              <w:right w:val="nil"/>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1,79</w:t>
            </w:r>
          </w:p>
        </w:tc>
        <w:tc>
          <w:tcPr>
            <w:tcW w:w="1152" w:type="dxa"/>
            <w:tcBorders>
              <w:top w:val="single" w:sz="4" w:space="0" w:color="AEAEAE"/>
              <w:left w:val="nil"/>
              <w:bottom w:val="nil"/>
              <w:right w:val="nil"/>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1,12</w:t>
            </w:r>
          </w:p>
        </w:tc>
        <w:tc>
          <w:tcPr>
            <w:tcW w:w="1194" w:type="dxa"/>
            <w:tcBorders>
              <w:top w:val="single" w:sz="4" w:space="0" w:color="AEAEAE"/>
              <w:left w:val="nil"/>
              <w:bottom w:val="nil"/>
              <w:right w:val="single" w:sz="4" w:space="0" w:color="auto"/>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0,96</w:t>
            </w:r>
          </w:p>
        </w:tc>
      </w:tr>
      <w:tr w:rsidR="003A7606" w:rsidRPr="000C1EA6" w:rsidTr="003D6909">
        <w:trPr>
          <w:trHeight w:val="170"/>
        </w:trPr>
        <w:tc>
          <w:tcPr>
            <w:tcW w:w="3982" w:type="dxa"/>
            <w:tcBorders>
              <w:top w:val="nil"/>
              <w:left w:val="single" w:sz="4" w:space="0" w:color="auto"/>
              <w:bottom w:val="single" w:sz="4" w:space="0" w:color="auto"/>
              <w:right w:val="nil"/>
            </w:tcBorders>
            <w:shd w:val="clear" w:color="auto" w:fill="auto"/>
            <w:noWrap/>
            <w:vAlign w:val="bottom"/>
            <w:hideMark/>
          </w:tcPr>
          <w:p w:rsidR="003A7606" w:rsidRPr="000C1EA6" w:rsidRDefault="003A7606" w:rsidP="00E01698">
            <w:pPr>
              <w:rPr>
                <w:sz w:val="20"/>
                <w:szCs w:val="20"/>
                <w:lang w:eastAsia="cs-CZ"/>
              </w:rPr>
            </w:pPr>
            <w:r w:rsidRPr="000C1EA6">
              <w:rPr>
                <w:sz w:val="20"/>
                <w:szCs w:val="20"/>
                <w:lang w:eastAsia="cs-CZ"/>
              </w:rPr>
              <w:t> </w:t>
            </w:r>
          </w:p>
        </w:tc>
        <w:tc>
          <w:tcPr>
            <w:tcW w:w="1655" w:type="dxa"/>
            <w:tcBorders>
              <w:top w:val="single" w:sz="4" w:space="0" w:color="AEAEAE"/>
              <w:left w:val="nil"/>
              <w:bottom w:val="single" w:sz="4" w:space="0" w:color="auto"/>
              <w:right w:val="nil"/>
            </w:tcBorders>
            <w:shd w:val="clear" w:color="auto" w:fill="auto"/>
            <w:noWrap/>
            <w:hideMark/>
          </w:tcPr>
          <w:p w:rsidR="003A7606" w:rsidRPr="000C1EA6" w:rsidRDefault="003A7606" w:rsidP="00E01698">
            <w:pPr>
              <w:rPr>
                <w:b/>
                <w:color w:val="010205"/>
                <w:sz w:val="20"/>
                <w:szCs w:val="20"/>
                <w:lang w:eastAsia="cs-CZ"/>
              </w:rPr>
            </w:pPr>
            <w:r w:rsidRPr="000C1EA6">
              <w:rPr>
                <w:b/>
                <w:color w:val="010205"/>
                <w:sz w:val="20"/>
                <w:szCs w:val="20"/>
                <w:lang w:eastAsia="cs-CZ"/>
              </w:rPr>
              <w:t>Median</w:t>
            </w:r>
          </w:p>
        </w:tc>
        <w:tc>
          <w:tcPr>
            <w:tcW w:w="1089" w:type="dxa"/>
            <w:tcBorders>
              <w:top w:val="single" w:sz="4" w:space="0" w:color="AEAEAE"/>
              <w:left w:val="nil"/>
              <w:bottom w:val="single" w:sz="4" w:space="0" w:color="auto"/>
              <w:right w:val="nil"/>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1,19</w:t>
            </w:r>
          </w:p>
        </w:tc>
        <w:tc>
          <w:tcPr>
            <w:tcW w:w="1152" w:type="dxa"/>
            <w:tcBorders>
              <w:top w:val="single" w:sz="4" w:space="0" w:color="AEAEAE"/>
              <w:left w:val="nil"/>
              <w:bottom w:val="single" w:sz="4" w:space="0" w:color="auto"/>
              <w:right w:val="nil"/>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0,96</w:t>
            </w:r>
          </w:p>
        </w:tc>
        <w:tc>
          <w:tcPr>
            <w:tcW w:w="1194" w:type="dxa"/>
            <w:tcBorders>
              <w:top w:val="single" w:sz="4" w:space="0" w:color="AEAEAE"/>
              <w:left w:val="nil"/>
              <w:bottom w:val="single" w:sz="4" w:space="0" w:color="auto"/>
              <w:right w:val="single" w:sz="4" w:space="0" w:color="auto"/>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0,88</w:t>
            </w:r>
          </w:p>
        </w:tc>
      </w:tr>
    </w:tbl>
    <w:p w:rsidR="000C1EA6" w:rsidRPr="000C1EA6" w:rsidRDefault="000C1EA6" w:rsidP="00E01698">
      <w:pPr>
        <w:rPr>
          <w:sz w:val="20"/>
          <w:szCs w:val="20"/>
        </w:rPr>
      </w:pPr>
    </w:p>
    <w:p w:rsidR="00770AEC" w:rsidRPr="000C1EA6" w:rsidRDefault="00770AEC" w:rsidP="000C1EA6">
      <w:pPr>
        <w:rPr>
          <w:sz w:val="20"/>
          <w:szCs w:val="20"/>
        </w:rPr>
      </w:pPr>
      <w:r w:rsidRPr="000C1EA6">
        <w:rPr>
          <w:sz w:val="20"/>
          <w:szCs w:val="20"/>
        </w:rPr>
        <w:t>Z hlediska zadlužení je vidět, že úpadkové podniky vykazovaly již tři toky před úpadkem téměř 100% zadlužení, které se dále s blížícím se úpadkem zhoršovalo.</w:t>
      </w:r>
    </w:p>
    <w:p w:rsidR="000C1EA6" w:rsidRPr="000C1EA6" w:rsidRDefault="000C1EA6" w:rsidP="000C1EA6">
      <w:pPr>
        <w:rPr>
          <w:sz w:val="20"/>
          <w:szCs w:val="20"/>
        </w:rPr>
      </w:pPr>
    </w:p>
    <w:p w:rsidR="00136B14" w:rsidRDefault="00B97985" w:rsidP="005A5A62">
      <w:pPr>
        <w:pStyle w:val="Nadpis4"/>
        <w:numPr>
          <w:ilvl w:val="3"/>
          <w:numId w:val="15"/>
        </w:numPr>
      </w:pPr>
      <w:r w:rsidRPr="000C1EA6">
        <w:t>Rentabilita</w:t>
      </w:r>
    </w:p>
    <w:p w:rsidR="00FF0D08" w:rsidRPr="00FF0D08" w:rsidRDefault="00FF0D08" w:rsidP="00FF0D08"/>
    <w:p w:rsidR="00B67E2E" w:rsidRDefault="00B67E2E" w:rsidP="00B67E2E">
      <w:pPr>
        <w:pStyle w:val="Titulek"/>
        <w:keepNext/>
      </w:pPr>
      <w:bookmarkStart w:id="111" w:name="_Toc31054816"/>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40</w:t>
      </w:r>
      <w:r w:rsidR="00163A91">
        <w:rPr>
          <w:noProof/>
        </w:rPr>
        <w:fldChar w:fldCharType="end"/>
      </w:r>
      <w:r>
        <w:t xml:space="preserve"> Rentabilita</w:t>
      </w:r>
      <w:bookmarkEnd w:id="111"/>
    </w:p>
    <w:tbl>
      <w:tblPr>
        <w:tblW w:w="9072" w:type="dxa"/>
        <w:tblCellMar>
          <w:left w:w="70" w:type="dxa"/>
          <w:right w:w="70" w:type="dxa"/>
        </w:tblCellMar>
        <w:tblLook w:val="04A0"/>
      </w:tblPr>
      <w:tblGrid>
        <w:gridCol w:w="3982"/>
        <w:gridCol w:w="1655"/>
        <w:gridCol w:w="1089"/>
        <w:gridCol w:w="1152"/>
        <w:gridCol w:w="1194"/>
      </w:tblGrid>
      <w:tr w:rsidR="003A7606" w:rsidRPr="000C1EA6" w:rsidTr="00B67E2E">
        <w:trPr>
          <w:trHeight w:val="170"/>
        </w:trPr>
        <w:tc>
          <w:tcPr>
            <w:tcW w:w="3982" w:type="dxa"/>
            <w:tcBorders>
              <w:top w:val="single" w:sz="4" w:space="0" w:color="auto"/>
              <w:left w:val="single" w:sz="4" w:space="0" w:color="auto"/>
              <w:bottom w:val="single" w:sz="4" w:space="0" w:color="auto"/>
              <w:right w:val="nil"/>
            </w:tcBorders>
            <w:shd w:val="clear" w:color="auto" w:fill="auto"/>
            <w:noWrap/>
            <w:vAlign w:val="bottom"/>
            <w:hideMark/>
          </w:tcPr>
          <w:p w:rsidR="003A7606" w:rsidRPr="000C1EA6" w:rsidRDefault="003A7606" w:rsidP="000C1EA6">
            <w:pPr>
              <w:rPr>
                <w:rFonts w:eastAsia="Times New Roman"/>
                <w:color w:val="000000"/>
                <w:sz w:val="20"/>
                <w:szCs w:val="20"/>
                <w:lang w:eastAsia="cs-CZ"/>
              </w:rPr>
            </w:pPr>
            <w:r w:rsidRPr="000C1EA6">
              <w:rPr>
                <w:rFonts w:eastAsia="Times New Roman"/>
                <w:color w:val="000000"/>
                <w:sz w:val="20"/>
                <w:szCs w:val="20"/>
                <w:lang w:eastAsia="cs-CZ"/>
              </w:rPr>
              <w:t> </w:t>
            </w:r>
          </w:p>
        </w:tc>
        <w:tc>
          <w:tcPr>
            <w:tcW w:w="1655" w:type="dxa"/>
            <w:tcBorders>
              <w:top w:val="single" w:sz="4" w:space="0" w:color="auto"/>
              <w:left w:val="nil"/>
              <w:bottom w:val="single" w:sz="4" w:space="0" w:color="auto"/>
              <w:right w:val="nil"/>
            </w:tcBorders>
            <w:shd w:val="clear" w:color="auto" w:fill="auto"/>
            <w:noWrap/>
            <w:vAlign w:val="bottom"/>
            <w:hideMark/>
          </w:tcPr>
          <w:p w:rsidR="003A7606" w:rsidRPr="000C1EA6" w:rsidRDefault="003A7606" w:rsidP="000C1EA6">
            <w:pPr>
              <w:rPr>
                <w:rFonts w:eastAsia="Times New Roman"/>
                <w:color w:val="000000"/>
                <w:sz w:val="20"/>
                <w:szCs w:val="20"/>
                <w:lang w:eastAsia="cs-CZ"/>
              </w:rPr>
            </w:pPr>
            <w:r w:rsidRPr="000C1EA6">
              <w:rPr>
                <w:rFonts w:eastAsia="Times New Roman"/>
                <w:color w:val="000000"/>
                <w:sz w:val="20"/>
                <w:szCs w:val="20"/>
                <w:lang w:eastAsia="cs-CZ"/>
              </w:rPr>
              <w:t> </w:t>
            </w:r>
          </w:p>
        </w:tc>
        <w:tc>
          <w:tcPr>
            <w:tcW w:w="1089" w:type="dxa"/>
            <w:tcBorders>
              <w:top w:val="single" w:sz="4" w:space="0" w:color="auto"/>
              <w:left w:val="nil"/>
              <w:bottom w:val="single" w:sz="4" w:space="0" w:color="auto"/>
              <w:right w:val="nil"/>
            </w:tcBorders>
            <w:shd w:val="clear" w:color="auto" w:fill="auto"/>
            <w:vAlign w:val="bottom"/>
            <w:hideMark/>
          </w:tcPr>
          <w:p w:rsidR="003A7606" w:rsidRPr="000C1EA6" w:rsidRDefault="003A7606" w:rsidP="000C1EA6">
            <w:pPr>
              <w:rPr>
                <w:rFonts w:eastAsia="Times New Roman"/>
                <w:color w:val="264A60"/>
                <w:sz w:val="20"/>
                <w:szCs w:val="20"/>
                <w:lang w:eastAsia="cs-CZ"/>
              </w:rPr>
            </w:pPr>
            <w:r w:rsidRPr="000C1EA6">
              <w:rPr>
                <w:rFonts w:eastAsia="Times New Roman"/>
                <w:color w:val="264A60"/>
                <w:sz w:val="20"/>
                <w:szCs w:val="20"/>
                <w:lang w:eastAsia="cs-CZ"/>
              </w:rPr>
              <w:t>1 rok před úpadkem</w:t>
            </w:r>
          </w:p>
        </w:tc>
        <w:tc>
          <w:tcPr>
            <w:tcW w:w="1152" w:type="dxa"/>
            <w:tcBorders>
              <w:top w:val="single" w:sz="4" w:space="0" w:color="auto"/>
              <w:left w:val="nil"/>
              <w:bottom w:val="single" w:sz="4" w:space="0" w:color="auto"/>
              <w:right w:val="nil"/>
            </w:tcBorders>
            <w:shd w:val="clear" w:color="auto" w:fill="auto"/>
            <w:vAlign w:val="bottom"/>
            <w:hideMark/>
          </w:tcPr>
          <w:p w:rsidR="003A7606" w:rsidRPr="000C1EA6" w:rsidRDefault="003A7606" w:rsidP="000C1EA6">
            <w:pPr>
              <w:rPr>
                <w:rFonts w:eastAsia="Times New Roman"/>
                <w:color w:val="264A60"/>
                <w:sz w:val="20"/>
                <w:szCs w:val="20"/>
                <w:lang w:eastAsia="cs-CZ"/>
              </w:rPr>
            </w:pPr>
            <w:r w:rsidRPr="000C1EA6">
              <w:rPr>
                <w:rFonts w:eastAsia="Times New Roman"/>
                <w:color w:val="264A60"/>
                <w:sz w:val="20"/>
                <w:szCs w:val="20"/>
                <w:lang w:eastAsia="cs-CZ"/>
              </w:rPr>
              <w:t>2 roky před úpadkem</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3A7606" w:rsidRPr="000C1EA6" w:rsidRDefault="003A7606" w:rsidP="000C1EA6">
            <w:pPr>
              <w:rPr>
                <w:rFonts w:eastAsia="Times New Roman"/>
                <w:color w:val="264A60"/>
                <w:sz w:val="20"/>
                <w:szCs w:val="20"/>
                <w:lang w:eastAsia="cs-CZ"/>
              </w:rPr>
            </w:pPr>
            <w:r w:rsidRPr="000C1EA6">
              <w:rPr>
                <w:rFonts w:eastAsia="Times New Roman"/>
                <w:color w:val="264A60"/>
                <w:sz w:val="20"/>
                <w:szCs w:val="20"/>
                <w:lang w:eastAsia="cs-CZ"/>
              </w:rPr>
              <w:t>3 roky před úpadkem</w:t>
            </w:r>
          </w:p>
        </w:tc>
      </w:tr>
      <w:tr w:rsidR="003A7606" w:rsidRPr="000C1EA6" w:rsidTr="00B67E2E">
        <w:trPr>
          <w:trHeight w:val="170"/>
        </w:trPr>
        <w:tc>
          <w:tcPr>
            <w:tcW w:w="3982" w:type="dxa"/>
            <w:tcBorders>
              <w:top w:val="nil"/>
              <w:left w:val="single" w:sz="4" w:space="0" w:color="auto"/>
              <w:bottom w:val="nil"/>
              <w:right w:val="nil"/>
            </w:tcBorders>
            <w:shd w:val="clear" w:color="auto" w:fill="auto"/>
            <w:noWrap/>
            <w:hideMark/>
          </w:tcPr>
          <w:p w:rsidR="003A7606" w:rsidRPr="000C1EA6" w:rsidRDefault="003A7606" w:rsidP="000C1EA6">
            <w:pPr>
              <w:rPr>
                <w:rFonts w:eastAsia="Times New Roman"/>
                <w:color w:val="010205"/>
                <w:sz w:val="20"/>
                <w:szCs w:val="20"/>
                <w:lang w:eastAsia="cs-CZ"/>
              </w:rPr>
            </w:pPr>
            <w:r w:rsidRPr="000C1EA6">
              <w:rPr>
                <w:rFonts w:eastAsia="Times New Roman"/>
                <w:color w:val="010205"/>
                <w:sz w:val="20"/>
                <w:szCs w:val="20"/>
                <w:lang w:eastAsia="cs-CZ"/>
              </w:rPr>
              <w:t>Rentabilita aktiv (primární EBITDA)</w:t>
            </w:r>
          </w:p>
        </w:tc>
        <w:tc>
          <w:tcPr>
            <w:tcW w:w="1655" w:type="dxa"/>
            <w:tcBorders>
              <w:top w:val="nil"/>
              <w:left w:val="nil"/>
              <w:bottom w:val="nil"/>
              <w:right w:val="nil"/>
            </w:tcBorders>
            <w:shd w:val="clear" w:color="auto" w:fill="auto"/>
            <w:noWrap/>
            <w:hideMark/>
          </w:tcPr>
          <w:p w:rsidR="003A7606" w:rsidRPr="000C1EA6" w:rsidRDefault="003A7606" w:rsidP="000C1EA6">
            <w:pPr>
              <w:rPr>
                <w:rFonts w:eastAsia="Times New Roman"/>
                <w:color w:val="010205"/>
                <w:sz w:val="20"/>
                <w:szCs w:val="20"/>
                <w:lang w:eastAsia="cs-CZ"/>
              </w:rPr>
            </w:pPr>
            <w:r w:rsidRPr="000C1EA6">
              <w:rPr>
                <w:rFonts w:eastAsia="Times New Roman"/>
                <w:color w:val="010205"/>
                <w:sz w:val="20"/>
                <w:szCs w:val="20"/>
                <w:lang w:eastAsia="cs-CZ"/>
              </w:rPr>
              <w:t>Mean</w:t>
            </w:r>
          </w:p>
        </w:tc>
        <w:tc>
          <w:tcPr>
            <w:tcW w:w="1089" w:type="dxa"/>
            <w:tcBorders>
              <w:top w:val="nil"/>
              <w:left w:val="nil"/>
              <w:bottom w:val="nil"/>
              <w:right w:val="nil"/>
            </w:tcBorders>
            <w:shd w:val="clear" w:color="auto" w:fill="auto"/>
            <w:noWrap/>
            <w:hideMark/>
          </w:tcPr>
          <w:p w:rsidR="003A7606" w:rsidRPr="000C1EA6" w:rsidRDefault="003A7606" w:rsidP="000C1EA6">
            <w:pPr>
              <w:rPr>
                <w:rFonts w:eastAsia="Times New Roman"/>
                <w:color w:val="010205"/>
                <w:sz w:val="20"/>
                <w:szCs w:val="20"/>
                <w:lang w:eastAsia="cs-CZ"/>
              </w:rPr>
            </w:pPr>
            <w:r w:rsidRPr="000C1EA6">
              <w:rPr>
                <w:rFonts w:eastAsia="Times New Roman"/>
                <w:color w:val="010205"/>
                <w:sz w:val="20"/>
                <w:szCs w:val="20"/>
                <w:lang w:eastAsia="cs-CZ"/>
              </w:rPr>
              <w:t>-0,41</w:t>
            </w:r>
          </w:p>
        </w:tc>
        <w:tc>
          <w:tcPr>
            <w:tcW w:w="1152" w:type="dxa"/>
            <w:tcBorders>
              <w:top w:val="nil"/>
              <w:left w:val="nil"/>
              <w:bottom w:val="nil"/>
              <w:right w:val="nil"/>
            </w:tcBorders>
            <w:shd w:val="clear" w:color="auto" w:fill="auto"/>
            <w:noWrap/>
            <w:hideMark/>
          </w:tcPr>
          <w:p w:rsidR="003A7606" w:rsidRPr="000C1EA6" w:rsidRDefault="003A7606" w:rsidP="000C1EA6">
            <w:pPr>
              <w:rPr>
                <w:rFonts w:eastAsia="Times New Roman"/>
                <w:color w:val="010205"/>
                <w:sz w:val="20"/>
                <w:szCs w:val="20"/>
                <w:lang w:eastAsia="cs-CZ"/>
              </w:rPr>
            </w:pPr>
            <w:r w:rsidRPr="000C1EA6">
              <w:rPr>
                <w:rFonts w:eastAsia="Times New Roman"/>
                <w:color w:val="010205"/>
                <w:sz w:val="20"/>
                <w:szCs w:val="20"/>
                <w:lang w:eastAsia="cs-CZ"/>
              </w:rPr>
              <w:t>-0,14</w:t>
            </w:r>
          </w:p>
        </w:tc>
        <w:tc>
          <w:tcPr>
            <w:tcW w:w="1194" w:type="dxa"/>
            <w:tcBorders>
              <w:top w:val="nil"/>
              <w:left w:val="nil"/>
              <w:bottom w:val="nil"/>
              <w:right w:val="single" w:sz="4" w:space="0" w:color="auto"/>
            </w:tcBorders>
            <w:shd w:val="clear" w:color="auto" w:fill="auto"/>
            <w:noWrap/>
            <w:hideMark/>
          </w:tcPr>
          <w:p w:rsidR="003A7606" w:rsidRPr="000C1EA6" w:rsidRDefault="003A7606" w:rsidP="000C1EA6">
            <w:pPr>
              <w:rPr>
                <w:rFonts w:eastAsia="Times New Roman"/>
                <w:color w:val="010205"/>
                <w:sz w:val="20"/>
                <w:szCs w:val="20"/>
                <w:lang w:eastAsia="cs-CZ"/>
              </w:rPr>
            </w:pPr>
            <w:r w:rsidRPr="000C1EA6">
              <w:rPr>
                <w:rFonts w:eastAsia="Times New Roman"/>
                <w:color w:val="010205"/>
                <w:sz w:val="20"/>
                <w:szCs w:val="20"/>
                <w:lang w:eastAsia="cs-CZ"/>
              </w:rPr>
              <w:t>-0,08</w:t>
            </w:r>
          </w:p>
        </w:tc>
      </w:tr>
      <w:tr w:rsidR="003A7606" w:rsidRPr="000C1EA6" w:rsidTr="00B67E2E">
        <w:trPr>
          <w:trHeight w:val="170"/>
        </w:trPr>
        <w:tc>
          <w:tcPr>
            <w:tcW w:w="3982" w:type="dxa"/>
            <w:tcBorders>
              <w:top w:val="nil"/>
              <w:left w:val="single" w:sz="4" w:space="0" w:color="auto"/>
              <w:bottom w:val="nil"/>
              <w:right w:val="nil"/>
            </w:tcBorders>
            <w:shd w:val="clear" w:color="auto" w:fill="auto"/>
            <w:noWrap/>
            <w:vAlign w:val="bottom"/>
            <w:hideMark/>
          </w:tcPr>
          <w:p w:rsidR="003A7606" w:rsidRPr="000C1EA6" w:rsidRDefault="003A7606" w:rsidP="000C1EA6">
            <w:pPr>
              <w:rPr>
                <w:rFonts w:eastAsia="Times New Roman"/>
                <w:color w:val="000000"/>
                <w:sz w:val="20"/>
                <w:szCs w:val="20"/>
                <w:lang w:eastAsia="cs-CZ"/>
              </w:rPr>
            </w:pPr>
            <w:r w:rsidRPr="000C1EA6">
              <w:rPr>
                <w:rFonts w:eastAsia="Times New Roman"/>
                <w:color w:val="000000"/>
                <w:sz w:val="20"/>
                <w:szCs w:val="20"/>
                <w:lang w:eastAsia="cs-CZ"/>
              </w:rPr>
              <w:t> </w:t>
            </w:r>
          </w:p>
        </w:tc>
        <w:tc>
          <w:tcPr>
            <w:tcW w:w="1655" w:type="dxa"/>
            <w:tcBorders>
              <w:top w:val="single" w:sz="4" w:space="0" w:color="AEAEAE"/>
              <w:left w:val="nil"/>
              <w:bottom w:val="nil"/>
              <w:right w:val="nil"/>
            </w:tcBorders>
            <w:shd w:val="clear" w:color="auto" w:fill="auto"/>
            <w:noWrap/>
            <w:hideMark/>
          </w:tcPr>
          <w:p w:rsidR="003A7606" w:rsidRPr="000C1EA6" w:rsidRDefault="003A7606" w:rsidP="000C1EA6">
            <w:pPr>
              <w:rPr>
                <w:rFonts w:eastAsia="Times New Roman"/>
                <w:b/>
                <w:color w:val="010205"/>
                <w:sz w:val="20"/>
                <w:szCs w:val="20"/>
                <w:lang w:eastAsia="cs-CZ"/>
              </w:rPr>
            </w:pPr>
            <w:r w:rsidRPr="000C1EA6">
              <w:rPr>
                <w:rFonts w:eastAsia="Times New Roman"/>
                <w:b/>
                <w:color w:val="010205"/>
                <w:sz w:val="20"/>
                <w:szCs w:val="20"/>
                <w:lang w:eastAsia="cs-CZ"/>
              </w:rPr>
              <w:t>5% Trimmed Mean</w:t>
            </w:r>
          </w:p>
        </w:tc>
        <w:tc>
          <w:tcPr>
            <w:tcW w:w="1089" w:type="dxa"/>
            <w:tcBorders>
              <w:top w:val="single" w:sz="4" w:space="0" w:color="AEAEAE"/>
              <w:left w:val="nil"/>
              <w:bottom w:val="nil"/>
              <w:right w:val="nil"/>
            </w:tcBorders>
            <w:shd w:val="clear" w:color="auto" w:fill="auto"/>
            <w:noWrap/>
            <w:hideMark/>
          </w:tcPr>
          <w:p w:rsidR="003A7606" w:rsidRPr="000C1EA6" w:rsidRDefault="003A7606" w:rsidP="000C1EA6">
            <w:pPr>
              <w:rPr>
                <w:rFonts w:eastAsia="Times New Roman"/>
                <w:b/>
                <w:color w:val="FF0000"/>
                <w:sz w:val="20"/>
                <w:szCs w:val="20"/>
                <w:lang w:eastAsia="cs-CZ"/>
              </w:rPr>
            </w:pPr>
            <w:r w:rsidRPr="000C1EA6">
              <w:rPr>
                <w:rFonts w:eastAsia="Times New Roman"/>
                <w:b/>
                <w:color w:val="FF0000"/>
                <w:sz w:val="20"/>
                <w:szCs w:val="20"/>
                <w:lang w:eastAsia="cs-CZ"/>
              </w:rPr>
              <w:t>-0,20</w:t>
            </w:r>
          </w:p>
        </w:tc>
        <w:tc>
          <w:tcPr>
            <w:tcW w:w="1152" w:type="dxa"/>
            <w:tcBorders>
              <w:top w:val="single" w:sz="4" w:space="0" w:color="AEAEAE"/>
              <w:left w:val="nil"/>
              <w:bottom w:val="nil"/>
              <w:right w:val="nil"/>
            </w:tcBorders>
            <w:shd w:val="clear" w:color="auto" w:fill="auto"/>
            <w:noWrap/>
            <w:hideMark/>
          </w:tcPr>
          <w:p w:rsidR="003A7606" w:rsidRPr="000C1EA6" w:rsidRDefault="003A7606" w:rsidP="000C1EA6">
            <w:pPr>
              <w:rPr>
                <w:rFonts w:eastAsia="Times New Roman"/>
                <w:b/>
                <w:color w:val="FF0000"/>
                <w:sz w:val="20"/>
                <w:szCs w:val="20"/>
                <w:lang w:eastAsia="cs-CZ"/>
              </w:rPr>
            </w:pPr>
            <w:r w:rsidRPr="000C1EA6">
              <w:rPr>
                <w:rFonts w:eastAsia="Times New Roman"/>
                <w:b/>
                <w:color w:val="FF0000"/>
                <w:sz w:val="20"/>
                <w:szCs w:val="20"/>
                <w:lang w:eastAsia="cs-CZ"/>
              </w:rPr>
              <w:t>-0,08</w:t>
            </w:r>
          </w:p>
        </w:tc>
        <w:tc>
          <w:tcPr>
            <w:tcW w:w="1194" w:type="dxa"/>
            <w:tcBorders>
              <w:top w:val="single" w:sz="4" w:space="0" w:color="AEAEAE"/>
              <w:left w:val="nil"/>
              <w:bottom w:val="nil"/>
              <w:right w:val="single" w:sz="4" w:space="0" w:color="auto"/>
            </w:tcBorders>
            <w:shd w:val="clear" w:color="auto" w:fill="auto"/>
            <w:noWrap/>
            <w:hideMark/>
          </w:tcPr>
          <w:p w:rsidR="003A7606" w:rsidRPr="000C1EA6" w:rsidRDefault="003A7606" w:rsidP="000C1EA6">
            <w:pPr>
              <w:rPr>
                <w:rFonts w:eastAsia="Times New Roman"/>
                <w:b/>
                <w:color w:val="FF0000"/>
                <w:sz w:val="20"/>
                <w:szCs w:val="20"/>
                <w:lang w:eastAsia="cs-CZ"/>
              </w:rPr>
            </w:pPr>
            <w:r w:rsidRPr="000C1EA6">
              <w:rPr>
                <w:rFonts w:eastAsia="Times New Roman"/>
                <w:b/>
                <w:color w:val="FF0000"/>
                <w:sz w:val="20"/>
                <w:szCs w:val="20"/>
                <w:lang w:eastAsia="cs-CZ"/>
              </w:rPr>
              <w:t>-0,02</w:t>
            </w:r>
          </w:p>
        </w:tc>
      </w:tr>
      <w:tr w:rsidR="003A7606" w:rsidRPr="000C1EA6" w:rsidTr="00B67E2E">
        <w:trPr>
          <w:trHeight w:val="170"/>
        </w:trPr>
        <w:tc>
          <w:tcPr>
            <w:tcW w:w="3982" w:type="dxa"/>
            <w:tcBorders>
              <w:top w:val="nil"/>
              <w:left w:val="single" w:sz="4" w:space="0" w:color="auto"/>
              <w:bottom w:val="single" w:sz="4" w:space="0" w:color="auto"/>
              <w:right w:val="nil"/>
            </w:tcBorders>
            <w:shd w:val="clear" w:color="auto" w:fill="auto"/>
            <w:noWrap/>
            <w:vAlign w:val="bottom"/>
            <w:hideMark/>
          </w:tcPr>
          <w:p w:rsidR="003A7606" w:rsidRPr="000C1EA6" w:rsidRDefault="003A7606" w:rsidP="000C1EA6">
            <w:pPr>
              <w:rPr>
                <w:rFonts w:eastAsia="Times New Roman"/>
                <w:color w:val="000000"/>
                <w:sz w:val="20"/>
                <w:szCs w:val="20"/>
                <w:lang w:eastAsia="cs-CZ"/>
              </w:rPr>
            </w:pPr>
            <w:r w:rsidRPr="000C1EA6">
              <w:rPr>
                <w:rFonts w:eastAsia="Times New Roman"/>
                <w:color w:val="000000"/>
                <w:sz w:val="20"/>
                <w:szCs w:val="20"/>
                <w:lang w:eastAsia="cs-CZ"/>
              </w:rPr>
              <w:t> </w:t>
            </w:r>
          </w:p>
        </w:tc>
        <w:tc>
          <w:tcPr>
            <w:tcW w:w="1655" w:type="dxa"/>
            <w:tcBorders>
              <w:top w:val="single" w:sz="4" w:space="0" w:color="AEAEAE"/>
              <w:left w:val="nil"/>
              <w:bottom w:val="single" w:sz="4" w:space="0" w:color="auto"/>
              <w:right w:val="nil"/>
            </w:tcBorders>
            <w:shd w:val="clear" w:color="auto" w:fill="auto"/>
            <w:noWrap/>
            <w:hideMark/>
          </w:tcPr>
          <w:p w:rsidR="003A7606" w:rsidRPr="000C1EA6" w:rsidRDefault="003A7606" w:rsidP="000C1EA6">
            <w:pPr>
              <w:rPr>
                <w:rFonts w:eastAsia="Times New Roman"/>
                <w:b/>
                <w:color w:val="010205"/>
                <w:sz w:val="20"/>
                <w:szCs w:val="20"/>
                <w:lang w:eastAsia="cs-CZ"/>
              </w:rPr>
            </w:pPr>
            <w:r w:rsidRPr="000C1EA6">
              <w:rPr>
                <w:rFonts w:eastAsia="Times New Roman"/>
                <w:b/>
                <w:color w:val="010205"/>
                <w:sz w:val="20"/>
                <w:szCs w:val="20"/>
                <w:lang w:eastAsia="cs-CZ"/>
              </w:rPr>
              <w:t>Median</w:t>
            </w:r>
          </w:p>
        </w:tc>
        <w:tc>
          <w:tcPr>
            <w:tcW w:w="1089" w:type="dxa"/>
            <w:tcBorders>
              <w:top w:val="single" w:sz="4" w:space="0" w:color="AEAEAE"/>
              <w:left w:val="nil"/>
              <w:bottom w:val="single" w:sz="4" w:space="0" w:color="auto"/>
              <w:right w:val="nil"/>
            </w:tcBorders>
            <w:shd w:val="clear" w:color="auto" w:fill="auto"/>
            <w:noWrap/>
            <w:hideMark/>
          </w:tcPr>
          <w:p w:rsidR="003A7606" w:rsidRPr="000C1EA6" w:rsidRDefault="003A7606" w:rsidP="000C1EA6">
            <w:pPr>
              <w:rPr>
                <w:rFonts w:eastAsia="Times New Roman"/>
                <w:b/>
                <w:color w:val="FF0000"/>
                <w:sz w:val="20"/>
                <w:szCs w:val="20"/>
                <w:lang w:eastAsia="cs-CZ"/>
              </w:rPr>
            </w:pPr>
            <w:r w:rsidRPr="000C1EA6">
              <w:rPr>
                <w:rFonts w:eastAsia="Times New Roman"/>
                <w:b/>
                <w:color w:val="FF0000"/>
                <w:sz w:val="20"/>
                <w:szCs w:val="20"/>
                <w:lang w:eastAsia="cs-CZ"/>
              </w:rPr>
              <w:t>-0,11</w:t>
            </w:r>
          </w:p>
        </w:tc>
        <w:tc>
          <w:tcPr>
            <w:tcW w:w="1152" w:type="dxa"/>
            <w:tcBorders>
              <w:top w:val="single" w:sz="4" w:space="0" w:color="AEAEAE"/>
              <w:left w:val="nil"/>
              <w:bottom w:val="single" w:sz="4" w:space="0" w:color="auto"/>
              <w:right w:val="nil"/>
            </w:tcBorders>
            <w:shd w:val="clear" w:color="auto" w:fill="auto"/>
            <w:noWrap/>
            <w:hideMark/>
          </w:tcPr>
          <w:p w:rsidR="003A7606" w:rsidRPr="000C1EA6" w:rsidRDefault="003A7606" w:rsidP="000C1EA6">
            <w:pPr>
              <w:rPr>
                <w:rFonts w:eastAsia="Times New Roman"/>
                <w:b/>
                <w:color w:val="FF0000"/>
                <w:sz w:val="20"/>
                <w:szCs w:val="20"/>
                <w:lang w:eastAsia="cs-CZ"/>
              </w:rPr>
            </w:pPr>
            <w:r w:rsidRPr="000C1EA6">
              <w:rPr>
                <w:rFonts w:eastAsia="Times New Roman"/>
                <w:b/>
                <w:color w:val="FF0000"/>
                <w:sz w:val="20"/>
                <w:szCs w:val="20"/>
                <w:lang w:eastAsia="cs-CZ"/>
              </w:rPr>
              <w:t>-0,01</w:t>
            </w:r>
          </w:p>
        </w:tc>
        <w:tc>
          <w:tcPr>
            <w:tcW w:w="1194" w:type="dxa"/>
            <w:tcBorders>
              <w:top w:val="single" w:sz="4" w:space="0" w:color="AEAEAE"/>
              <w:left w:val="nil"/>
              <w:bottom w:val="single" w:sz="4" w:space="0" w:color="auto"/>
              <w:right w:val="single" w:sz="4" w:space="0" w:color="auto"/>
            </w:tcBorders>
            <w:shd w:val="clear" w:color="auto" w:fill="auto"/>
            <w:noWrap/>
            <w:hideMark/>
          </w:tcPr>
          <w:p w:rsidR="003A7606" w:rsidRPr="000C1EA6" w:rsidRDefault="003A7606" w:rsidP="000C1EA6">
            <w:pPr>
              <w:rPr>
                <w:rFonts w:eastAsia="Times New Roman"/>
                <w:b/>
                <w:color w:val="FF0000"/>
                <w:sz w:val="20"/>
                <w:szCs w:val="20"/>
                <w:lang w:eastAsia="cs-CZ"/>
              </w:rPr>
            </w:pPr>
            <w:r w:rsidRPr="000C1EA6">
              <w:rPr>
                <w:rFonts w:eastAsia="Times New Roman"/>
                <w:b/>
                <w:color w:val="FF0000"/>
                <w:sz w:val="20"/>
                <w:szCs w:val="20"/>
                <w:lang w:eastAsia="cs-CZ"/>
              </w:rPr>
              <w:t>0,01</w:t>
            </w:r>
          </w:p>
        </w:tc>
      </w:tr>
      <w:tr w:rsidR="003A7606" w:rsidRPr="000C1EA6" w:rsidTr="00B67E2E">
        <w:trPr>
          <w:trHeight w:val="170"/>
        </w:trPr>
        <w:tc>
          <w:tcPr>
            <w:tcW w:w="3982" w:type="dxa"/>
            <w:tcBorders>
              <w:top w:val="single" w:sz="4" w:space="0" w:color="auto"/>
              <w:left w:val="single" w:sz="4" w:space="0" w:color="auto"/>
              <w:bottom w:val="nil"/>
              <w:right w:val="nil"/>
            </w:tcBorders>
            <w:shd w:val="clear" w:color="auto" w:fill="auto"/>
            <w:noWrap/>
            <w:hideMark/>
          </w:tcPr>
          <w:p w:rsidR="003A7606" w:rsidRPr="000C1EA6" w:rsidRDefault="003A7606" w:rsidP="000C1EA6">
            <w:pPr>
              <w:rPr>
                <w:rFonts w:eastAsia="Times New Roman"/>
                <w:color w:val="010205"/>
                <w:sz w:val="20"/>
                <w:szCs w:val="20"/>
                <w:lang w:eastAsia="cs-CZ"/>
              </w:rPr>
            </w:pPr>
            <w:r w:rsidRPr="000C1EA6">
              <w:rPr>
                <w:rFonts w:eastAsia="Times New Roman"/>
                <w:color w:val="010205"/>
                <w:sz w:val="20"/>
                <w:szCs w:val="20"/>
                <w:lang w:eastAsia="cs-CZ"/>
              </w:rPr>
              <w:t>Rentabilita aktiv (EBITDA)</w:t>
            </w:r>
          </w:p>
        </w:tc>
        <w:tc>
          <w:tcPr>
            <w:tcW w:w="1655" w:type="dxa"/>
            <w:tcBorders>
              <w:top w:val="single" w:sz="4" w:space="0" w:color="auto"/>
              <w:left w:val="nil"/>
              <w:bottom w:val="nil"/>
              <w:right w:val="nil"/>
            </w:tcBorders>
            <w:shd w:val="clear" w:color="auto" w:fill="auto"/>
            <w:noWrap/>
            <w:hideMark/>
          </w:tcPr>
          <w:p w:rsidR="003A7606" w:rsidRPr="000C1EA6" w:rsidRDefault="003A7606" w:rsidP="000C1EA6">
            <w:pPr>
              <w:rPr>
                <w:rFonts w:eastAsia="Times New Roman"/>
                <w:color w:val="010205"/>
                <w:sz w:val="20"/>
                <w:szCs w:val="20"/>
                <w:lang w:eastAsia="cs-CZ"/>
              </w:rPr>
            </w:pPr>
            <w:r w:rsidRPr="000C1EA6">
              <w:rPr>
                <w:rFonts w:eastAsia="Times New Roman"/>
                <w:color w:val="010205"/>
                <w:sz w:val="20"/>
                <w:szCs w:val="20"/>
                <w:lang w:eastAsia="cs-CZ"/>
              </w:rPr>
              <w:t>Mean</w:t>
            </w:r>
          </w:p>
        </w:tc>
        <w:tc>
          <w:tcPr>
            <w:tcW w:w="1089" w:type="dxa"/>
            <w:tcBorders>
              <w:top w:val="single" w:sz="4" w:space="0" w:color="auto"/>
              <w:left w:val="nil"/>
              <w:bottom w:val="nil"/>
              <w:right w:val="nil"/>
            </w:tcBorders>
            <w:shd w:val="clear" w:color="auto" w:fill="auto"/>
            <w:noWrap/>
            <w:hideMark/>
          </w:tcPr>
          <w:p w:rsidR="003A7606" w:rsidRPr="000C1EA6" w:rsidRDefault="003A7606" w:rsidP="000C1EA6">
            <w:pPr>
              <w:rPr>
                <w:rFonts w:eastAsia="Times New Roman"/>
                <w:color w:val="010205"/>
                <w:sz w:val="20"/>
                <w:szCs w:val="20"/>
                <w:lang w:eastAsia="cs-CZ"/>
              </w:rPr>
            </w:pPr>
            <w:r w:rsidRPr="000C1EA6">
              <w:rPr>
                <w:rFonts w:eastAsia="Times New Roman"/>
                <w:color w:val="010205"/>
                <w:sz w:val="20"/>
                <w:szCs w:val="20"/>
                <w:lang w:eastAsia="cs-CZ"/>
              </w:rPr>
              <w:t>-1,15</w:t>
            </w:r>
          </w:p>
        </w:tc>
        <w:tc>
          <w:tcPr>
            <w:tcW w:w="1152" w:type="dxa"/>
            <w:tcBorders>
              <w:top w:val="single" w:sz="4" w:space="0" w:color="auto"/>
              <w:left w:val="nil"/>
              <w:bottom w:val="nil"/>
              <w:right w:val="nil"/>
            </w:tcBorders>
            <w:shd w:val="clear" w:color="auto" w:fill="auto"/>
            <w:noWrap/>
            <w:hideMark/>
          </w:tcPr>
          <w:p w:rsidR="003A7606" w:rsidRPr="000C1EA6" w:rsidRDefault="003A7606" w:rsidP="000C1EA6">
            <w:pPr>
              <w:rPr>
                <w:rFonts w:eastAsia="Times New Roman"/>
                <w:color w:val="010205"/>
                <w:sz w:val="20"/>
                <w:szCs w:val="20"/>
                <w:lang w:eastAsia="cs-CZ"/>
              </w:rPr>
            </w:pPr>
            <w:r w:rsidRPr="000C1EA6">
              <w:rPr>
                <w:rFonts w:eastAsia="Times New Roman"/>
                <w:color w:val="010205"/>
                <w:sz w:val="20"/>
                <w:szCs w:val="20"/>
                <w:lang w:eastAsia="cs-CZ"/>
              </w:rPr>
              <w:t>-0,09</w:t>
            </w:r>
          </w:p>
        </w:tc>
        <w:tc>
          <w:tcPr>
            <w:tcW w:w="1194" w:type="dxa"/>
            <w:tcBorders>
              <w:top w:val="single" w:sz="4" w:space="0" w:color="auto"/>
              <w:left w:val="nil"/>
              <w:bottom w:val="nil"/>
              <w:right w:val="single" w:sz="4" w:space="0" w:color="auto"/>
            </w:tcBorders>
            <w:shd w:val="clear" w:color="auto" w:fill="auto"/>
            <w:noWrap/>
            <w:hideMark/>
          </w:tcPr>
          <w:p w:rsidR="003A7606" w:rsidRPr="000C1EA6" w:rsidRDefault="003A7606" w:rsidP="000C1EA6">
            <w:pPr>
              <w:rPr>
                <w:rFonts w:eastAsia="Times New Roman"/>
                <w:color w:val="010205"/>
                <w:sz w:val="20"/>
                <w:szCs w:val="20"/>
                <w:lang w:eastAsia="cs-CZ"/>
              </w:rPr>
            </w:pPr>
            <w:r w:rsidRPr="000C1EA6">
              <w:rPr>
                <w:rFonts w:eastAsia="Times New Roman"/>
                <w:color w:val="010205"/>
                <w:sz w:val="20"/>
                <w:szCs w:val="20"/>
                <w:lang w:eastAsia="cs-CZ"/>
              </w:rPr>
              <w:t>-0,09</w:t>
            </w:r>
          </w:p>
        </w:tc>
      </w:tr>
      <w:tr w:rsidR="003A7606" w:rsidRPr="000C1EA6" w:rsidTr="00B67E2E">
        <w:trPr>
          <w:trHeight w:val="170"/>
        </w:trPr>
        <w:tc>
          <w:tcPr>
            <w:tcW w:w="3982" w:type="dxa"/>
            <w:tcBorders>
              <w:top w:val="nil"/>
              <w:left w:val="single" w:sz="4" w:space="0" w:color="auto"/>
              <w:bottom w:val="nil"/>
              <w:right w:val="nil"/>
            </w:tcBorders>
            <w:shd w:val="clear" w:color="auto" w:fill="auto"/>
            <w:noWrap/>
            <w:vAlign w:val="bottom"/>
            <w:hideMark/>
          </w:tcPr>
          <w:p w:rsidR="003A7606" w:rsidRPr="000C1EA6" w:rsidRDefault="003A7606" w:rsidP="000C1EA6">
            <w:pPr>
              <w:rPr>
                <w:rFonts w:eastAsia="Times New Roman"/>
                <w:color w:val="000000"/>
                <w:sz w:val="20"/>
                <w:szCs w:val="20"/>
                <w:lang w:eastAsia="cs-CZ"/>
              </w:rPr>
            </w:pPr>
            <w:r w:rsidRPr="000C1EA6">
              <w:rPr>
                <w:rFonts w:eastAsia="Times New Roman"/>
                <w:color w:val="000000"/>
                <w:sz w:val="20"/>
                <w:szCs w:val="20"/>
                <w:lang w:eastAsia="cs-CZ"/>
              </w:rPr>
              <w:t> </w:t>
            </w:r>
          </w:p>
        </w:tc>
        <w:tc>
          <w:tcPr>
            <w:tcW w:w="1655" w:type="dxa"/>
            <w:tcBorders>
              <w:top w:val="single" w:sz="4" w:space="0" w:color="AEAEAE"/>
              <w:left w:val="nil"/>
              <w:bottom w:val="nil"/>
              <w:right w:val="nil"/>
            </w:tcBorders>
            <w:shd w:val="clear" w:color="auto" w:fill="auto"/>
            <w:noWrap/>
            <w:hideMark/>
          </w:tcPr>
          <w:p w:rsidR="003A7606" w:rsidRPr="000C1EA6" w:rsidRDefault="003A7606" w:rsidP="000C1EA6">
            <w:pPr>
              <w:rPr>
                <w:rFonts w:eastAsia="Times New Roman"/>
                <w:b/>
                <w:color w:val="010205"/>
                <w:sz w:val="20"/>
                <w:szCs w:val="20"/>
                <w:lang w:eastAsia="cs-CZ"/>
              </w:rPr>
            </w:pPr>
            <w:r w:rsidRPr="000C1EA6">
              <w:rPr>
                <w:rFonts w:eastAsia="Times New Roman"/>
                <w:b/>
                <w:color w:val="010205"/>
                <w:sz w:val="20"/>
                <w:szCs w:val="20"/>
                <w:lang w:eastAsia="cs-CZ"/>
              </w:rPr>
              <w:t>5% Trimmed Mean</w:t>
            </w:r>
          </w:p>
        </w:tc>
        <w:tc>
          <w:tcPr>
            <w:tcW w:w="1089" w:type="dxa"/>
            <w:tcBorders>
              <w:top w:val="single" w:sz="4" w:space="0" w:color="AEAEAE"/>
              <w:left w:val="nil"/>
              <w:bottom w:val="nil"/>
              <w:right w:val="nil"/>
            </w:tcBorders>
            <w:shd w:val="clear" w:color="auto" w:fill="auto"/>
            <w:noWrap/>
            <w:hideMark/>
          </w:tcPr>
          <w:p w:rsidR="003A7606" w:rsidRPr="000C1EA6" w:rsidRDefault="003A7606" w:rsidP="000C1EA6">
            <w:pPr>
              <w:rPr>
                <w:rFonts w:eastAsia="Times New Roman"/>
                <w:b/>
                <w:color w:val="FF0000"/>
                <w:sz w:val="20"/>
                <w:szCs w:val="20"/>
                <w:lang w:eastAsia="cs-CZ"/>
              </w:rPr>
            </w:pPr>
            <w:r w:rsidRPr="000C1EA6">
              <w:rPr>
                <w:rFonts w:eastAsia="Times New Roman"/>
                <w:b/>
                <w:color w:val="FF0000"/>
                <w:sz w:val="20"/>
                <w:szCs w:val="20"/>
                <w:lang w:eastAsia="cs-CZ"/>
              </w:rPr>
              <w:t>-0,29</w:t>
            </w:r>
          </w:p>
        </w:tc>
        <w:tc>
          <w:tcPr>
            <w:tcW w:w="1152" w:type="dxa"/>
            <w:tcBorders>
              <w:top w:val="single" w:sz="4" w:space="0" w:color="AEAEAE"/>
              <w:left w:val="nil"/>
              <w:bottom w:val="nil"/>
              <w:right w:val="nil"/>
            </w:tcBorders>
            <w:shd w:val="clear" w:color="auto" w:fill="auto"/>
            <w:noWrap/>
            <w:hideMark/>
          </w:tcPr>
          <w:p w:rsidR="003A7606" w:rsidRPr="000C1EA6" w:rsidRDefault="003A7606" w:rsidP="000C1EA6">
            <w:pPr>
              <w:rPr>
                <w:rFonts w:eastAsia="Times New Roman"/>
                <w:b/>
                <w:color w:val="FF0000"/>
                <w:sz w:val="20"/>
                <w:szCs w:val="20"/>
                <w:lang w:eastAsia="cs-CZ"/>
              </w:rPr>
            </w:pPr>
            <w:r w:rsidRPr="000C1EA6">
              <w:rPr>
                <w:rFonts w:eastAsia="Times New Roman"/>
                <w:b/>
                <w:color w:val="FF0000"/>
                <w:sz w:val="20"/>
                <w:szCs w:val="20"/>
                <w:lang w:eastAsia="cs-CZ"/>
              </w:rPr>
              <w:t>-0,09</w:t>
            </w:r>
          </w:p>
        </w:tc>
        <w:tc>
          <w:tcPr>
            <w:tcW w:w="1194" w:type="dxa"/>
            <w:tcBorders>
              <w:top w:val="single" w:sz="4" w:space="0" w:color="AEAEAE"/>
              <w:left w:val="nil"/>
              <w:bottom w:val="nil"/>
              <w:right w:val="single" w:sz="4" w:space="0" w:color="auto"/>
            </w:tcBorders>
            <w:shd w:val="clear" w:color="auto" w:fill="auto"/>
            <w:noWrap/>
            <w:hideMark/>
          </w:tcPr>
          <w:p w:rsidR="003A7606" w:rsidRPr="000C1EA6" w:rsidRDefault="003A7606" w:rsidP="000C1EA6">
            <w:pPr>
              <w:rPr>
                <w:rFonts w:eastAsia="Times New Roman"/>
                <w:b/>
                <w:color w:val="FF0000"/>
                <w:sz w:val="20"/>
                <w:szCs w:val="20"/>
                <w:lang w:eastAsia="cs-CZ"/>
              </w:rPr>
            </w:pPr>
            <w:r w:rsidRPr="000C1EA6">
              <w:rPr>
                <w:rFonts w:eastAsia="Times New Roman"/>
                <w:b/>
                <w:color w:val="FF0000"/>
                <w:sz w:val="20"/>
                <w:szCs w:val="20"/>
                <w:lang w:eastAsia="cs-CZ"/>
              </w:rPr>
              <w:t>-0,02</w:t>
            </w:r>
          </w:p>
        </w:tc>
      </w:tr>
      <w:tr w:rsidR="003A7606" w:rsidRPr="000C1EA6" w:rsidTr="00B67E2E">
        <w:trPr>
          <w:trHeight w:val="170"/>
        </w:trPr>
        <w:tc>
          <w:tcPr>
            <w:tcW w:w="3982" w:type="dxa"/>
            <w:tcBorders>
              <w:top w:val="nil"/>
              <w:left w:val="single" w:sz="4" w:space="0" w:color="auto"/>
              <w:bottom w:val="single" w:sz="4" w:space="0" w:color="auto"/>
              <w:right w:val="nil"/>
            </w:tcBorders>
            <w:shd w:val="clear" w:color="auto" w:fill="auto"/>
            <w:noWrap/>
            <w:vAlign w:val="bottom"/>
            <w:hideMark/>
          </w:tcPr>
          <w:p w:rsidR="003A7606" w:rsidRPr="000C1EA6" w:rsidRDefault="003A7606" w:rsidP="000C1EA6">
            <w:pPr>
              <w:rPr>
                <w:rFonts w:eastAsia="Times New Roman"/>
                <w:color w:val="000000"/>
                <w:sz w:val="20"/>
                <w:szCs w:val="20"/>
                <w:lang w:eastAsia="cs-CZ"/>
              </w:rPr>
            </w:pPr>
            <w:r w:rsidRPr="000C1EA6">
              <w:rPr>
                <w:rFonts w:eastAsia="Times New Roman"/>
                <w:color w:val="000000"/>
                <w:sz w:val="20"/>
                <w:szCs w:val="20"/>
                <w:lang w:eastAsia="cs-CZ"/>
              </w:rPr>
              <w:t> </w:t>
            </w:r>
          </w:p>
        </w:tc>
        <w:tc>
          <w:tcPr>
            <w:tcW w:w="1655" w:type="dxa"/>
            <w:tcBorders>
              <w:top w:val="single" w:sz="4" w:space="0" w:color="AEAEAE"/>
              <w:left w:val="nil"/>
              <w:bottom w:val="single" w:sz="4" w:space="0" w:color="auto"/>
              <w:right w:val="nil"/>
            </w:tcBorders>
            <w:shd w:val="clear" w:color="auto" w:fill="auto"/>
            <w:noWrap/>
            <w:hideMark/>
          </w:tcPr>
          <w:p w:rsidR="003A7606" w:rsidRPr="000C1EA6" w:rsidRDefault="003A7606" w:rsidP="000C1EA6">
            <w:pPr>
              <w:rPr>
                <w:rFonts w:eastAsia="Times New Roman"/>
                <w:b/>
                <w:color w:val="010205"/>
                <w:sz w:val="20"/>
                <w:szCs w:val="20"/>
                <w:lang w:eastAsia="cs-CZ"/>
              </w:rPr>
            </w:pPr>
            <w:r w:rsidRPr="000C1EA6">
              <w:rPr>
                <w:rFonts w:eastAsia="Times New Roman"/>
                <w:b/>
                <w:color w:val="010205"/>
                <w:sz w:val="20"/>
                <w:szCs w:val="20"/>
                <w:lang w:eastAsia="cs-CZ"/>
              </w:rPr>
              <w:t>Median</w:t>
            </w:r>
          </w:p>
        </w:tc>
        <w:tc>
          <w:tcPr>
            <w:tcW w:w="1089" w:type="dxa"/>
            <w:tcBorders>
              <w:top w:val="single" w:sz="4" w:space="0" w:color="AEAEAE"/>
              <w:left w:val="nil"/>
              <w:bottom w:val="single" w:sz="4" w:space="0" w:color="auto"/>
              <w:right w:val="nil"/>
            </w:tcBorders>
            <w:shd w:val="clear" w:color="auto" w:fill="auto"/>
            <w:noWrap/>
            <w:hideMark/>
          </w:tcPr>
          <w:p w:rsidR="003A7606" w:rsidRPr="000C1EA6" w:rsidRDefault="003A7606" w:rsidP="000C1EA6">
            <w:pPr>
              <w:rPr>
                <w:rFonts w:eastAsia="Times New Roman"/>
                <w:b/>
                <w:color w:val="FF0000"/>
                <w:sz w:val="20"/>
                <w:szCs w:val="20"/>
                <w:lang w:eastAsia="cs-CZ"/>
              </w:rPr>
            </w:pPr>
            <w:r w:rsidRPr="000C1EA6">
              <w:rPr>
                <w:rFonts w:eastAsia="Times New Roman"/>
                <w:b/>
                <w:color w:val="FF0000"/>
                <w:sz w:val="20"/>
                <w:szCs w:val="20"/>
                <w:lang w:eastAsia="cs-CZ"/>
              </w:rPr>
              <w:t>-0,14</w:t>
            </w:r>
          </w:p>
        </w:tc>
        <w:tc>
          <w:tcPr>
            <w:tcW w:w="1152" w:type="dxa"/>
            <w:tcBorders>
              <w:top w:val="single" w:sz="4" w:space="0" w:color="AEAEAE"/>
              <w:left w:val="nil"/>
              <w:bottom w:val="single" w:sz="4" w:space="0" w:color="auto"/>
              <w:right w:val="nil"/>
            </w:tcBorders>
            <w:shd w:val="clear" w:color="auto" w:fill="auto"/>
            <w:noWrap/>
            <w:hideMark/>
          </w:tcPr>
          <w:p w:rsidR="003A7606" w:rsidRPr="000C1EA6" w:rsidRDefault="003A7606" w:rsidP="000C1EA6">
            <w:pPr>
              <w:rPr>
                <w:rFonts w:eastAsia="Times New Roman"/>
                <w:b/>
                <w:color w:val="FF0000"/>
                <w:sz w:val="20"/>
                <w:szCs w:val="20"/>
                <w:lang w:eastAsia="cs-CZ"/>
              </w:rPr>
            </w:pPr>
            <w:r w:rsidRPr="000C1EA6">
              <w:rPr>
                <w:rFonts w:eastAsia="Times New Roman"/>
                <w:b/>
                <w:color w:val="FF0000"/>
                <w:sz w:val="20"/>
                <w:szCs w:val="20"/>
                <w:lang w:eastAsia="cs-CZ"/>
              </w:rPr>
              <w:t>-0,01</w:t>
            </w:r>
          </w:p>
        </w:tc>
        <w:tc>
          <w:tcPr>
            <w:tcW w:w="1194" w:type="dxa"/>
            <w:tcBorders>
              <w:top w:val="single" w:sz="4" w:space="0" w:color="AEAEAE"/>
              <w:left w:val="nil"/>
              <w:bottom w:val="single" w:sz="4" w:space="0" w:color="auto"/>
              <w:right w:val="single" w:sz="4" w:space="0" w:color="auto"/>
            </w:tcBorders>
            <w:shd w:val="clear" w:color="auto" w:fill="auto"/>
            <w:noWrap/>
            <w:hideMark/>
          </w:tcPr>
          <w:p w:rsidR="003A7606" w:rsidRPr="000C1EA6" w:rsidRDefault="003A7606" w:rsidP="000C1EA6">
            <w:pPr>
              <w:rPr>
                <w:rFonts w:eastAsia="Times New Roman"/>
                <w:b/>
                <w:color w:val="FF0000"/>
                <w:sz w:val="20"/>
                <w:szCs w:val="20"/>
                <w:lang w:eastAsia="cs-CZ"/>
              </w:rPr>
            </w:pPr>
            <w:r w:rsidRPr="000C1EA6">
              <w:rPr>
                <w:rFonts w:eastAsia="Times New Roman"/>
                <w:b/>
                <w:color w:val="FF0000"/>
                <w:sz w:val="20"/>
                <w:szCs w:val="20"/>
                <w:lang w:eastAsia="cs-CZ"/>
              </w:rPr>
              <w:t>0,02</w:t>
            </w:r>
          </w:p>
        </w:tc>
      </w:tr>
      <w:tr w:rsidR="003A7606" w:rsidRPr="000C1EA6" w:rsidTr="00B67E2E">
        <w:trPr>
          <w:trHeight w:val="170"/>
        </w:trPr>
        <w:tc>
          <w:tcPr>
            <w:tcW w:w="3982" w:type="dxa"/>
            <w:tcBorders>
              <w:top w:val="single" w:sz="4" w:space="0" w:color="auto"/>
              <w:left w:val="single" w:sz="4" w:space="0" w:color="auto"/>
              <w:bottom w:val="nil"/>
              <w:right w:val="nil"/>
            </w:tcBorders>
            <w:shd w:val="clear" w:color="auto" w:fill="auto"/>
            <w:noWrap/>
            <w:hideMark/>
          </w:tcPr>
          <w:p w:rsidR="003A7606" w:rsidRPr="000C1EA6" w:rsidRDefault="003A7606" w:rsidP="000C1EA6">
            <w:pPr>
              <w:rPr>
                <w:rFonts w:eastAsia="Times New Roman"/>
                <w:color w:val="010205"/>
                <w:sz w:val="20"/>
                <w:szCs w:val="20"/>
                <w:lang w:eastAsia="cs-CZ"/>
              </w:rPr>
            </w:pPr>
            <w:r w:rsidRPr="000C1EA6">
              <w:rPr>
                <w:rFonts w:eastAsia="Times New Roman"/>
                <w:color w:val="010205"/>
                <w:sz w:val="20"/>
                <w:szCs w:val="20"/>
                <w:lang w:eastAsia="cs-CZ"/>
              </w:rPr>
              <w:t>Rentabilita aktiv (EBIT)</w:t>
            </w:r>
          </w:p>
        </w:tc>
        <w:tc>
          <w:tcPr>
            <w:tcW w:w="1655" w:type="dxa"/>
            <w:tcBorders>
              <w:top w:val="single" w:sz="4" w:space="0" w:color="auto"/>
              <w:left w:val="nil"/>
              <w:bottom w:val="nil"/>
              <w:right w:val="nil"/>
            </w:tcBorders>
            <w:shd w:val="clear" w:color="auto" w:fill="auto"/>
            <w:noWrap/>
            <w:hideMark/>
          </w:tcPr>
          <w:p w:rsidR="003A7606" w:rsidRPr="000C1EA6" w:rsidRDefault="003A7606" w:rsidP="000C1EA6">
            <w:pPr>
              <w:rPr>
                <w:rFonts w:eastAsia="Times New Roman"/>
                <w:color w:val="010205"/>
                <w:sz w:val="20"/>
                <w:szCs w:val="20"/>
                <w:lang w:eastAsia="cs-CZ"/>
              </w:rPr>
            </w:pPr>
            <w:r w:rsidRPr="000C1EA6">
              <w:rPr>
                <w:rFonts w:eastAsia="Times New Roman"/>
                <w:color w:val="010205"/>
                <w:sz w:val="20"/>
                <w:szCs w:val="20"/>
                <w:lang w:eastAsia="cs-CZ"/>
              </w:rPr>
              <w:t>Mean</w:t>
            </w:r>
          </w:p>
        </w:tc>
        <w:tc>
          <w:tcPr>
            <w:tcW w:w="1089" w:type="dxa"/>
            <w:tcBorders>
              <w:top w:val="single" w:sz="4" w:space="0" w:color="auto"/>
              <w:left w:val="nil"/>
              <w:bottom w:val="nil"/>
              <w:right w:val="nil"/>
            </w:tcBorders>
            <w:shd w:val="clear" w:color="auto" w:fill="auto"/>
            <w:noWrap/>
            <w:hideMark/>
          </w:tcPr>
          <w:p w:rsidR="003A7606" w:rsidRPr="000C1EA6" w:rsidRDefault="003A7606" w:rsidP="000C1EA6">
            <w:pPr>
              <w:rPr>
                <w:rFonts w:eastAsia="Times New Roman"/>
                <w:color w:val="010205"/>
                <w:sz w:val="20"/>
                <w:szCs w:val="20"/>
                <w:lang w:eastAsia="cs-CZ"/>
              </w:rPr>
            </w:pPr>
            <w:r w:rsidRPr="000C1EA6">
              <w:rPr>
                <w:rFonts w:eastAsia="Times New Roman"/>
                <w:color w:val="010205"/>
                <w:sz w:val="20"/>
                <w:szCs w:val="20"/>
                <w:lang w:eastAsia="cs-CZ"/>
              </w:rPr>
              <w:t>-1,65</w:t>
            </w:r>
          </w:p>
        </w:tc>
        <w:tc>
          <w:tcPr>
            <w:tcW w:w="1152" w:type="dxa"/>
            <w:tcBorders>
              <w:top w:val="single" w:sz="4" w:space="0" w:color="auto"/>
              <w:left w:val="nil"/>
              <w:bottom w:val="nil"/>
              <w:right w:val="nil"/>
            </w:tcBorders>
            <w:shd w:val="clear" w:color="auto" w:fill="auto"/>
            <w:noWrap/>
            <w:hideMark/>
          </w:tcPr>
          <w:p w:rsidR="003A7606" w:rsidRPr="000C1EA6" w:rsidRDefault="003A7606" w:rsidP="000C1EA6">
            <w:pPr>
              <w:rPr>
                <w:rFonts w:eastAsia="Times New Roman"/>
                <w:color w:val="010205"/>
                <w:sz w:val="20"/>
                <w:szCs w:val="20"/>
                <w:lang w:eastAsia="cs-CZ"/>
              </w:rPr>
            </w:pPr>
            <w:r w:rsidRPr="000C1EA6">
              <w:rPr>
                <w:rFonts w:eastAsia="Times New Roman"/>
                <w:color w:val="010205"/>
                <w:sz w:val="20"/>
                <w:szCs w:val="20"/>
                <w:lang w:eastAsia="cs-CZ"/>
              </w:rPr>
              <w:t>-0,12</w:t>
            </w:r>
          </w:p>
        </w:tc>
        <w:tc>
          <w:tcPr>
            <w:tcW w:w="1194" w:type="dxa"/>
            <w:tcBorders>
              <w:top w:val="single" w:sz="4" w:space="0" w:color="auto"/>
              <w:left w:val="nil"/>
              <w:bottom w:val="nil"/>
              <w:right w:val="single" w:sz="4" w:space="0" w:color="auto"/>
            </w:tcBorders>
            <w:shd w:val="clear" w:color="auto" w:fill="auto"/>
            <w:noWrap/>
            <w:hideMark/>
          </w:tcPr>
          <w:p w:rsidR="003A7606" w:rsidRPr="000C1EA6" w:rsidRDefault="003A7606" w:rsidP="000C1EA6">
            <w:pPr>
              <w:rPr>
                <w:rFonts w:eastAsia="Times New Roman"/>
                <w:color w:val="010205"/>
                <w:sz w:val="20"/>
                <w:szCs w:val="20"/>
                <w:lang w:eastAsia="cs-CZ"/>
              </w:rPr>
            </w:pPr>
            <w:r w:rsidRPr="000C1EA6">
              <w:rPr>
                <w:rFonts w:eastAsia="Times New Roman"/>
                <w:color w:val="010205"/>
                <w:sz w:val="20"/>
                <w:szCs w:val="20"/>
                <w:lang w:eastAsia="cs-CZ"/>
              </w:rPr>
              <w:t>-0,14</w:t>
            </w:r>
          </w:p>
        </w:tc>
      </w:tr>
      <w:tr w:rsidR="003A7606" w:rsidRPr="000C1EA6" w:rsidTr="00B67E2E">
        <w:trPr>
          <w:trHeight w:val="170"/>
        </w:trPr>
        <w:tc>
          <w:tcPr>
            <w:tcW w:w="3982" w:type="dxa"/>
            <w:tcBorders>
              <w:top w:val="nil"/>
              <w:left w:val="single" w:sz="4" w:space="0" w:color="auto"/>
              <w:bottom w:val="nil"/>
              <w:right w:val="nil"/>
            </w:tcBorders>
            <w:shd w:val="clear" w:color="auto" w:fill="auto"/>
            <w:noWrap/>
            <w:vAlign w:val="bottom"/>
            <w:hideMark/>
          </w:tcPr>
          <w:p w:rsidR="003A7606" w:rsidRPr="000C1EA6" w:rsidRDefault="003A7606" w:rsidP="000C1EA6">
            <w:pPr>
              <w:rPr>
                <w:rFonts w:eastAsia="Times New Roman"/>
                <w:color w:val="000000"/>
                <w:sz w:val="20"/>
                <w:szCs w:val="20"/>
                <w:lang w:eastAsia="cs-CZ"/>
              </w:rPr>
            </w:pPr>
            <w:r w:rsidRPr="000C1EA6">
              <w:rPr>
                <w:rFonts w:eastAsia="Times New Roman"/>
                <w:color w:val="000000"/>
                <w:sz w:val="20"/>
                <w:szCs w:val="20"/>
                <w:lang w:eastAsia="cs-CZ"/>
              </w:rPr>
              <w:t> </w:t>
            </w:r>
          </w:p>
        </w:tc>
        <w:tc>
          <w:tcPr>
            <w:tcW w:w="1655" w:type="dxa"/>
            <w:tcBorders>
              <w:top w:val="single" w:sz="4" w:space="0" w:color="AEAEAE"/>
              <w:left w:val="nil"/>
              <w:bottom w:val="nil"/>
              <w:right w:val="nil"/>
            </w:tcBorders>
            <w:shd w:val="clear" w:color="auto" w:fill="auto"/>
            <w:noWrap/>
            <w:hideMark/>
          </w:tcPr>
          <w:p w:rsidR="003A7606" w:rsidRPr="000C1EA6" w:rsidRDefault="003A7606" w:rsidP="000C1EA6">
            <w:pPr>
              <w:rPr>
                <w:rFonts w:eastAsia="Times New Roman"/>
                <w:b/>
                <w:color w:val="010205"/>
                <w:sz w:val="20"/>
                <w:szCs w:val="20"/>
                <w:lang w:eastAsia="cs-CZ"/>
              </w:rPr>
            </w:pPr>
            <w:r w:rsidRPr="000C1EA6">
              <w:rPr>
                <w:rFonts w:eastAsia="Times New Roman"/>
                <w:b/>
                <w:color w:val="010205"/>
                <w:sz w:val="20"/>
                <w:szCs w:val="20"/>
                <w:lang w:eastAsia="cs-CZ"/>
              </w:rPr>
              <w:t>5% Trimmed Mean</w:t>
            </w:r>
          </w:p>
        </w:tc>
        <w:tc>
          <w:tcPr>
            <w:tcW w:w="1089" w:type="dxa"/>
            <w:tcBorders>
              <w:top w:val="single" w:sz="4" w:space="0" w:color="AEAEAE"/>
              <w:left w:val="nil"/>
              <w:bottom w:val="nil"/>
              <w:right w:val="nil"/>
            </w:tcBorders>
            <w:shd w:val="clear" w:color="auto" w:fill="auto"/>
            <w:noWrap/>
            <w:hideMark/>
          </w:tcPr>
          <w:p w:rsidR="003A7606" w:rsidRPr="000C1EA6" w:rsidRDefault="003A7606" w:rsidP="000C1EA6">
            <w:pPr>
              <w:rPr>
                <w:rFonts w:eastAsia="Times New Roman"/>
                <w:b/>
                <w:color w:val="FF0000"/>
                <w:sz w:val="20"/>
                <w:szCs w:val="20"/>
                <w:lang w:eastAsia="cs-CZ"/>
              </w:rPr>
            </w:pPr>
            <w:r w:rsidRPr="000C1EA6">
              <w:rPr>
                <w:rFonts w:eastAsia="Times New Roman"/>
                <w:b/>
                <w:color w:val="FF0000"/>
                <w:sz w:val="20"/>
                <w:szCs w:val="20"/>
                <w:lang w:eastAsia="cs-CZ"/>
              </w:rPr>
              <w:t>-0,39</w:t>
            </w:r>
          </w:p>
        </w:tc>
        <w:tc>
          <w:tcPr>
            <w:tcW w:w="1152" w:type="dxa"/>
            <w:tcBorders>
              <w:top w:val="single" w:sz="4" w:space="0" w:color="AEAEAE"/>
              <w:left w:val="nil"/>
              <w:bottom w:val="nil"/>
              <w:right w:val="nil"/>
            </w:tcBorders>
            <w:shd w:val="clear" w:color="auto" w:fill="auto"/>
            <w:noWrap/>
            <w:hideMark/>
          </w:tcPr>
          <w:p w:rsidR="003A7606" w:rsidRPr="000C1EA6" w:rsidRDefault="003A7606" w:rsidP="000C1EA6">
            <w:pPr>
              <w:rPr>
                <w:rFonts w:eastAsia="Times New Roman"/>
                <w:b/>
                <w:color w:val="FF0000"/>
                <w:sz w:val="20"/>
                <w:szCs w:val="20"/>
                <w:lang w:eastAsia="cs-CZ"/>
              </w:rPr>
            </w:pPr>
            <w:r w:rsidRPr="000C1EA6">
              <w:rPr>
                <w:rFonts w:eastAsia="Times New Roman"/>
                <w:b/>
                <w:color w:val="FF0000"/>
                <w:sz w:val="20"/>
                <w:szCs w:val="20"/>
                <w:lang w:eastAsia="cs-CZ"/>
              </w:rPr>
              <w:t>-0,12</w:t>
            </w:r>
          </w:p>
        </w:tc>
        <w:tc>
          <w:tcPr>
            <w:tcW w:w="1194" w:type="dxa"/>
            <w:tcBorders>
              <w:top w:val="single" w:sz="4" w:space="0" w:color="AEAEAE"/>
              <w:left w:val="nil"/>
              <w:bottom w:val="nil"/>
              <w:right w:val="single" w:sz="4" w:space="0" w:color="auto"/>
            </w:tcBorders>
            <w:shd w:val="clear" w:color="auto" w:fill="auto"/>
            <w:noWrap/>
            <w:hideMark/>
          </w:tcPr>
          <w:p w:rsidR="003A7606" w:rsidRPr="000C1EA6" w:rsidRDefault="003A7606" w:rsidP="000C1EA6">
            <w:pPr>
              <w:rPr>
                <w:rFonts w:eastAsia="Times New Roman"/>
                <w:b/>
                <w:color w:val="FF0000"/>
                <w:sz w:val="20"/>
                <w:szCs w:val="20"/>
                <w:lang w:eastAsia="cs-CZ"/>
              </w:rPr>
            </w:pPr>
            <w:r w:rsidRPr="000C1EA6">
              <w:rPr>
                <w:rFonts w:eastAsia="Times New Roman"/>
                <w:b/>
                <w:color w:val="FF0000"/>
                <w:sz w:val="20"/>
                <w:szCs w:val="20"/>
                <w:lang w:eastAsia="cs-CZ"/>
              </w:rPr>
              <w:t>-0,07</w:t>
            </w:r>
          </w:p>
        </w:tc>
      </w:tr>
      <w:tr w:rsidR="003A7606" w:rsidRPr="000C1EA6" w:rsidTr="00B67E2E">
        <w:trPr>
          <w:trHeight w:val="170"/>
        </w:trPr>
        <w:tc>
          <w:tcPr>
            <w:tcW w:w="3982" w:type="dxa"/>
            <w:tcBorders>
              <w:top w:val="nil"/>
              <w:left w:val="single" w:sz="4" w:space="0" w:color="auto"/>
              <w:bottom w:val="single" w:sz="4" w:space="0" w:color="auto"/>
              <w:right w:val="nil"/>
            </w:tcBorders>
            <w:shd w:val="clear" w:color="auto" w:fill="auto"/>
            <w:noWrap/>
            <w:vAlign w:val="bottom"/>
            <w:hideMark/>
          </w:tcPr>
          <w:p w:rsidR="003A7606" w:rsidRPr="000C1EA6" w:rsidRDefault="003A7606" w:rsidP="000C1EA6">
            <w:pPr>
              <w:rPr>
                <w:rFonts w:eastAsia="Times New Roman"/>
                <w:color w:val="000000"/>
                <w:sz w:val="20"/>
                <w:szCs w:val="20"/>
                <w:lang w:eastAsia="cs-CZ"/>
              </w:rPr>
            </w:pPr>
            <w:r w:rsidRPr="000C1EA6">
              <w:rPr>
                <w:rFonts w:eastAsia="Times New Roman"/>
                <w:color w:val="000000"/>
                <w:sz w:val="20"/>
                <w:szCs w:val="20"/>
                <w:lang w:eastAsia="cs-CZ"/>
              </w:rPr>
              <w:t> </w:t>
            </w:r>
          </w:p>
        </w:tc>
        <w:tc>
          <w:tcPr>
            <w:tcW w:w="1655" w:type="dxa"/>
            <w:tcBorders>
              <w:top w:val="single" w:sz="4" w:space="0" w:color="AEAEAE"/>
              <w:left w:val="nil"/>
              <w:bottom w:val="single" w:sz="4" w:space="0" w:color="auto"/>
              <w:right w:val="nil"/>
            </w:tcBorders>
            <w:shd w:val="clear" w:color="auto" w:fill="auto"/>
            <w:noWrap/>
            <w:hideMark/>
          </w:tcPr>
          <w:p w:rsidR="003A7606" w:rsidRPr="000C1EA6" w:rsidRDefault="003A7606" w:rsidP="000C1EA6">
            <w:pPr>
              <w:rPr>
                <w:rFonts w:eastAsia="Times New Roman"/>
                <w:b/>
                <w:color w:val="010205"/>
                <w:sz w:val="20"/>
                <w:szCs w:val="20"/>
                <w:lang w:eastAsia="cs-CZ"/>
              </w:rPr>
            </w:pPr>
            <w:r w:rsidRPr="000C1EA6">
              <w:rPr>
                <w:rFonts w:eastAsia="Times New Roman"/>
                <w:b/>
                <w:color w:val="010205"/>
                <w:sz w:val="20"/>
                <w:szCs w:val="20"/>
                <w:lang w:eastAsia="cs-CZ"/>
              </w:rPr>
              <w:t>Median</w:t>
            </w:r>
          </w:p>
        </w:tc>
        <w:tc>
          <w:tcPr>
            <w:tcW w:w="1089" w:type="dxa"/>
            <w:tcBorders>
              <w:top w:val="single" w:sz="4" w:space="0" w:color="AEAEAE"/>
              <w:left w:val="nil"/>
              <w:bottom w:val="single" w:sz="4" w:space="0" w:color="auto"/>
              <w:right w:val="nil"/>
            </w:tcBorders>
            <w:shd w:val="clear" w:color="auto" w:fill="auto"/>
            <w:noWrap/>
            <w:hideMark/>
          </w:tcPr>
          <w:p w:rsidR="003A7606" w:rsidRPr="000C1EA6" w:rsidRDefault="003A7606" w:rsidP="000C1EA6">
            <w:pPr>
              <w:rPr>
                <w:rFonts w:eastAsia="Times New Roman"/>
                <w:b/>
                <w:color w:val="FF0000"/>
                <w:sz w:val="20"/>
                <w:szCs w:val="20"/>
                <w:lang w:eastAsia="cs-CZ"/>
              </w:rPr>
            </w:pPr>
            <w:r w:rsidRPr="000C1EA6">
              <w:rPr>
                <w:rFonts w:eastAsia="Times New Roman"/>
                <w:b/>
                <w:color w:val="FF0000"/>
                <w:sz w:val="20"/>
                <w:szCs w:val="20"/>
                <w:lang w:eastAsia="cs-CZ"/>
              </w:rPr>
              <w:t>-0,19</w:t>
            </w:r>
          </w:p>
        </w:tc>
        <w:tc>
          <w:tcPr>
            <w:tcW w:w="1152" w:type="dxa"/>
            <w:tcBorders>
              <w:top w:val="single" w:sz="4" w:space="0" w:color="AEAEAE"/>
              <w:left w:val="nil"/>
              <w:bottom w:val="single" w:sz="4" w:space="0" w:color="auto"/>
              <w:right w:val="nil"/>
            </w:tcBorders>
            <w:shd w:val="clear" w:color="auto" w:fill="auto"/>
            <w:noWrap/>
            <w:hideMark/>
          </w:tcPr>
          <w:p w:rsidR="003A7606" w:rsidRPr="000C1EA6" w:rsidRDefault="003A7606" w:rsidP="000C1EA6">
            <w:pPr>
              <w:rPr>
                <w:rFonts w:eastAsia="Times New Roman"/>
                <w:b/>
                <w:color w:val="FF0000"/>
                <w:sz w:val="20"/>
                <w:szCs w:val="20"/>
                <w:lang w:eastAsia="cs-CZ"/>
              </w:rPr>
            </w:pPr>
            <w:r w:rsidRPr="000C1EA6">
              <w:rPr>
                <w:rFonts w:eastAsia="Times New Roman"/>
                <w:b/>
                <w:color w:val="FF0000"/>
                <w:sz w:val="20"/>
                <w:szCs w:val="20"/>
                <w:lang w:eastAsia="cs-CZ"/>
              </w:rPr>
              <w:t>-0,03</w:t>
            </w:r>
          </w:p>
        </w:tc>
        <w:tc>
          <w:tcPr>
            <w:tcW w:w="1194" w:type="dxa"/>
            <w:tcBorders>
              <w:top w:val="single" w:sz="4" w:space="0" w:color="AEAEAE"/>
              <w:left w:val="nil"/>
              <w:bottom w:val="single" w:sz="4" w:space="0" w:color="auto"/>
              <w:right w:val="single" w:sz="4" w:space="0" w:color="auto"/>
            </w:tcBorders>
            <w:shd w:val="clear" w:color="auto" w:fill="auto"/>
            <w:noWrap/>
            <w:hideMark/>
          </w:tcPr>
          <w:p w:rsidR="003A7606" w:rsidRPr="000C1EA6" w:rsidRDefault="003A7606" w:rsidP="000C1EA6">
            <w:pPr>
              <w:rPr>
                <w:rFonts w:eastAsia="Times New Roman"/>
                <w:b/>
                <w:color w:val="FF0000"/>
                <w:sz w:val="20"/>
                <w:szCs w:val="20"/>
                <w:lang w:eastAsia="cs-CZ"/>
              </w:rPr>
            </w:pPr>
            <w:r w:rsidRPr="000C1EA6">
              <w:rPr>
                <w:rFonts w:eastAsia="Times New Roman"/>
                <w:b/>
                <w:color w:val="FF0000"/>
                <w:sz w:val="20"/>
                <w:szCs w:val="20"/>
                <w:lang w:eastAsia="cs-CZ"/>
              </w:rPr>
              <w:t>-0,01</w:t>
            </w:r>
          </w:p>
        </w:tc>
      </w:tr>
    </w:tbl>
    <w:p w:rsidR="000C1EA6" w:rsidRPr="000C1EA6" w:rsidRDefault="000C1EA6" w:rsidP="000C1EA6">
      <w:pPr>
        <w:rPr>
          <w:sz w:val="20"/>
          <w:szCs w:val="20"/>
        </w:rPr>
      </w:pPr>
    </w:p>
    <w:p w:rsidR="00770AEC" w:rsidRDefault="006C2EFF" w:rsidP="000C1EA6">
      <w:pPr>
        <w:rPr>
          <w:sz w:val="20"/>
          <w:szCs w:val="20"/>
        </w:rPr>
      </w:pPr>
      <w:r w:rsidRPr="000C1EA6">
        <w:rPr>
          <w:sz w:val="20"/>
          <w:szCs w:val="20"/>
        </w:rPr>
        <w:t>U rentability aktiv je patrné, že</w:t>
      </w:r>
      <w:r w:rsidR="0060169A" w:rsidRPr="000C1EA6">
        <w:rPr>
          <w:sz w:val="20"/>
          <w:szCs w:val="20"/>
        </w:rPr>
        <w:t xml:space="preserve"> již tři roky před úpadkem byla záporná nebo nulová, a to na všech sledovaných úrovních.  </w:t>
      </w:r>
    </w:p>
    <w:p w:rsidR="000C1EA6" w:rsidRPr="000C1EA6" w:rsidRDefault="000C1EA6" w:rsidP="00BF7426">
      <w:pPr>
        <w:rPr>
          <w:sz w:val="20"/>
          <w:szCs w:val="20"/>
        </w:rPr>
      </w:pPr>
    </w:p>
    <w:p w:rsidR="00B97985" w:rsidRPr="000C1EA6" w:rsidRDefault="00B97985" w:rsidP="005A5A62">
      <w:pPr>
        <w:pStyle w:val="Nadpis4"/>
        <w:numPr>
          <w:ilvl w:val="3"/>
          <w:numId w:val="15"/>
        </w:numPr>
      </w:pPr>
      <w:r w:rsidRPr="000C1EA6">
        <w:lastRenderedPageBreak/>
        <w:t>Doba obratu nepeněžních složek pracovního kapitálu</w:t>
      </w:r>
    </w:p>
    <w:p w:rsidR="00E01698" w:rsidRPr="000C1EA6" w:rsidRDefault="00E01698" w:rsidP="00E01698">
      <w:pPr>
        <w:rPr>
          <w:sz w:val="20"/>
          <w:szCs w:val="20"/>
          <w:lang w:eastAsia="cs-CZ"/>
        </w:rPr>
      </w:pPr>
    </w:p>
    <w:p w:rsidR="001545FF" w:rsidRDefault="001545FF" w:rsidP="001545FF">
      <w:pPr>
        <w:pStyle w:val="Titulek"/>
        <w:keepNext/>
      </w:pPr>
      <w:bookmarkStart w:id="112" w:name="_Toc31054817"/>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41</w:t>
      </w:r>
      <w:r w:rsidR="00163A91">
        <w:rPr>
          <w:noProof/>
        </w:rPr>
        <w:fldChar w:fldCharType="end"/>
      </w:r>
      <w:r>
        <w:t xml:space="preserve"> Doba obratu nepeněžních složek pracovního kapitálu</w:t>
      </w:r>
      <w:bookmarkEnd w:id="112"/>
    </w:p>
    <w:tbl>
      <w:tblPr>
        <w:tblW w:w="9072" w:type="dxa"/>
        <w:tblCellMar>
          <w:left w:w="70" w:type="dxa"/>
          <w:right w:w="70" w:type="dxa"/>
        </w:tblCellMar>
        <w:tblLook w:val="04A0"/>
      </w:tblPr>
      <w:tblGrid>
        <w:gridCol w:w="3982"/>
        <w:gridCol w:w="1655"/>
        <w:gridCol w:w="1089"/>
        <w:gridCol w:w="1152"/>
        <w:gridCol w:w="1194"/>
      </w:tblGrid>
      <w:tr w:rsidR="003A7606" w:rsidRPr="000C1EA6" w:rsidTr="001545FF">
        <w:trPr>
          <w:trHeight w:val="170"/>
        </w:trPr>
        <w:tc>
          <w:tcPr>
            <w:tcW w:w="3982" w:type="dxa"/>
            <w:tcBorders>
              <w:top w:val="single" w:sz="4" w:space="0" w:color="auto"/>
              <w:left w:val="single" w:sz="4" w:space="0" w:color="auto"/>
              <w:bottom w:val="single" w:sz="4" w:space="0" w:color="auto"/>
              <w:right w:val="nil"/>
            </w:tcBorders>
            <w:shd w:val="clear" w:color="auto" w:fill="auto"/>
            <w:noWrap/>
            <w:vAlign w:val="bottom"/>
            <w:hideMark/>
          </w:tcPr>
          <w:p w:rsidR="003A7606" w:rsidRPr="000C1EA6" w:rsidRDefault="003A7606" w:rsidP="00E01698">
            <w:pPr>
              <w:rPr>
                <w:sz w:val="20"/>
                <w:szCs w:val="20"/>
                <w:lang w:eastAsia="cs-CZ"/>
              </w:rPr>
            </w:pPr>
            <w:r w:rsidRPr="000C1EA6">
              <w:rPr>
                <w:sz w:val="20"/>
                <w:szCs w:val="20"/>
                <w:lang w:eastAsia="cs-CZ"/>
              </w:rPr>
              <w:t> </w:t>
            </w:r>
          </w:p>
        </w:tc>
        <w:tc>
          <w:tcPr>
            <w:tcW w:w="1655" w:type="dxa"/>
            <w:tcBorders>
              <w:top w:val="single" w:sz="4" w:space="0" w:color="auto"/>
              <w:left w:val="nil"/>
              <w:bottom w:val="single" w:sz="4" w:space="0" w:color="auto"/>
              <w:right w:val="nil"/>
            </w:tcBorders>
            <w:shd w:val="clear" w:color="auto" w:fill="auto"/>
            <w:noWrap/>
            <w:vAlign w:val="bottom"/>
            <w:hideMark/>
          </w:tcPr>
          <w:p w:rsidR="003A7606" w:rsidRPr="000C1EA6" w:rsidRDefault="003A7606" w:rsidP="00E01698">
            <w:pPr>
              <w:rPr>
                <w:sz w:val="20"/>
                <w:szCs w:val="20"/>
                <w:lang w:eastAsia="cs-CZ"/>
              </w:rPr>
            </w:pPr>
            <w:r w:rsidRPr="000C1EA6">
              <w:rPr>
                <w:sz w:val="20"/>
                <w:szCs w:val="20"/>
                <w:lang w:eastAsia="cs-CZ"/>
              </w:rPr>
              <w:t> </w:t>
            </w:r>
          </w:p>
        </w:tc>
        <w:tc>
          <w:tcPr>
            <w:tcW w:w="1089" w:type="dxa"/>
            <w:tcBorders>
              <w:top w:val="single" w:sz="4" w:space="0" w:color="auto"/>
              <w:left w:val="nil"/>
              <w:bottom w:val="single" w:sz="4" w:space="0" w:color="auto"/>
              <w:right w:val="nil"/>
            </w:tcBorders>
            <w:shd w:val="clear" w:color="auto" w:fill="auto"/>
            <w:vAlign w:val="bottom"/>
            <w:hideMark/>
          </w:tcPr>
          <w:p w:rsidR="003A7606" w:rsidRPr="000C1EA6" w:rsidRDefault="003A7606" w:rsidP="00E01698">
            <w:pPr>
              <w:rPr>
                <w:color w:val="264A60"/>
                <w:sz w:val="20"/>
                <w:szCs w:val="20"/>
                <w:lang w:eastAsia="cs-CZ"/>
              </w:rPr>
            </w:pPr>
            <w:r w:rsidRPr="000C1EA6">
              <w:rPr>
                <w:color w:val="264A60"/>
                <w:sz w:val="20"/>
                <w:szCs w:val="20"/>
                <w:lang w:eastAsia="cs-CZ"/>
              </w:rPr>
              <w:t>1 rok před úpadkem</w:t>
            </w:r>
          </w:p>
        </w:tc>
        <w:tc>
          <w:tcPr>
            <w:tcW w:w="1152" w:type="dxa"/>
            <w:tcBorders>
              <w:top w:val="single" w:sz="4" w:space="0" w:color="auto"/>
              <w:left w:val="nil"/>
              <w:bottom w:val="single" w:sz="4" w:space="0" w:color="auto"/>
              <w:right w:val="nil"/>
            </w:tcBorders>
            <w:shd w:val="clear" w:color="auto" w:fill="auto"/>
            <w:vAlign w:val="bottom"/>
            <w:hideMark/>
          </w:tcPr>
          <w:p w:rsidR="003A7606" w:rsidRPr="000C1EA6" w:rsidRDefault="003A7606" w:rsidP="00E01698">
            <w:pPr>
              <w:rPr>
                <w:color w:val="264A60"/>
                <w:sz w:val="20"/>
                <w:szCs w:val="20"/>
                <w:lang w:eastAsia="cs-CZ"/>
              </w:rPr>
            </w:pPr>
            <w:r w:rsidRPr="000C1EA6">
              <w:rPr>
                <w:color w:val="264A60"/>
                <w:sz w:val="20"/>
                <w:szCs w:val="20"/>
                <w:lang w:eastAsia="cs-CZ"/>
              </w:rPr>
              <w:t>2 roky před úpadkem</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3A7606" w:rsidRPr="000C1EA6" w:rsidRDefault="003A7606" w:rsidP="00E01698">
            <w:pPr>
              <w:rPr>
                <w:color w:val="264A60"/>
                <w:sz w:val="20"/>
                <w:szCs w:val="20"/>
                <w:lang w:eastAsia="cs-CZ"/>
              </w:rPr>
            </w:pPr>
            <w:r w:rsidRPr="000C1EA6">
              <w:rPr>
                <w:color w:val="264A60"/>
                <w:sz w:val="20"/>
                <w:szCs w:val="20"/>
                <w:lang w:eastAsia="cs-CZ"/>
              </w:rPr>
              <w:t>3 roky před úpadkem</w:t>
            </w:r>
          </w:p>
        </w:tc>
      </w:tr>
      <w:tr w:rsidR="003A7606" w:rsidRPr="000C1EA6" w:rsidTr="001545FF">
        <w:trPr>
          <w:trHeight w:val="170"/>
        </w:trPr>
        <w:tc>
          <w:tcPr>
            <w:tcW w:w="3982" w:type="dxa"/>
            <w:tcBorders>
              <w:top w:val="nil"/>
              <w:left w:val="single" w:sz="4" w:space="0" w:color="auto"/>
              <w:bottom w:val="nil"/>
              <w:right w:val="nil"/>
            </w:tcBorders>
            <w:shd w:val="clear" w:color="auto" w:fill="auto"/>
            <w:noWrap/>
            <w:hideMark/>
          </w:tcPr>
          <w:p w:rsidR="003A7606" w:rsidRPr="000C1EA6" w:rsidRDefault="003A7606" w:rsidP="00E01698">
            <w:pPr>
              <w:rPr>
                <w:color w:val="010205"/>
                <w:sz w:val="20"/>
                <w:szCs w:val="20"/>
                <w:lang w:eastAsia="cs-CZ"/>
              </w:rPr>
            </w:pPr>
            <w:r w:rsidRPr="000C1EA6">
              <w:rPr>
                <w:color w:val="010205"/>
                <w:sz w:val="20"/>
                <w:szCs w:val="20"/>
                <w:lang w:eastAsia="cs-CZ"/>
              </w:rPr>
              <w:t>Doba obratu zásob</w:t>
            </w:r>
          </w:p>
        </w:tc>
        <w:tc>
          <w:tcPr>
            <w:tcW w:w="1655" w:type="dxa"/>
            <w:tcBorders>
              <w:top w:val="nil"/>
              <w:left w:val="nil"/>
              <w:bottom w:val="nil"/>
              <w:right w:val="nil"/>
            </w:tcBorders>
            <w:shd w:val="clear" w:color="auto" w:fill="auto"/>
            <w:noWrap/>
            <w:hideMark/>
          </w:tcPr>
          <w:p w:rsidR="003A7606" w:rsidRPr="000C1EA6" w:rsidRDefault="003A7606" w:rsidP="00E01698">
            <w:pPr>
              <w:rPr>
                <w:color w:val="010205"/>
                <w:sz w:val="20"/>
                <w:szCs w:val="20"/>
                <w:lang w:eastAsia="cs-CZ"/>
              </w:rPr>
            </w:pPr>
            <w:r w:rsidRPr="000C1EA6">
              <w:rPr>
                <w:color w:val="010205"/>
                <w:sz w:val="20"/>
                <w:szCs w:val="20"/>
                <w:lang w:eastAsia="cs-CZ"/>
              </w:rPr>
              <w:t>Mean</w:t>
            </w:r>
          </w:p>
        </w:tc>
        <w:tc>
          <w:tcPr>
            <w:tcW w:w="1089" w:type="dxa"/>
            <w:tcBorders>
              <w:top w:val="nil"/>
              <w:left w:val="nil"/>
              <w:bottom w:val="nil"/>
              <w:right w:val="nil"/>
            </w:tcBorders>
            <w:shd w:val="clear" w:color="auto" w:fill="auto"/>
            <w:noWrap/>
            <w:hideMark/>
          </w:tcPr>
          <w:p w:rsidR="003A7606" w:rsidRPr="000C1EA6" w:rsidRDefault="003A7606" w:rsidP="00E01698">
            <w:pPr>
              <w:rPr>
                <w:color w:val="010205"/>
                <w:sz w:val="20"/>
                <w:szCs w:val="20"/>
                <w:lang w:eastAsia="cs-CZ"/>
              </w:rPr>
            </w:pPr>
            <w:r w:rsidRPr="000C1EA6">
              <w:rPr>
                <w:color w:val="010205"/>
                <w:sz w:val="20"/>
                <w:szCs w:val="20"/>
                <w:lang w:eastAsia="cs-CZ"/>
              </w:rPr>
              <w:t>174,64</w:t>
            </w:r>
          </w:p>
        </w:tc>
        <w:tc>
          <w:tcPr>
            <w:tcW w:w="1152" w:type="dxa"/>
            <w:tcBorders>
              <w:top w:val="nil"/>
              <w:left w:val="nil"/>
              <w:bottom w:val="nil"/>
              <w:right w:val="nil"/>
            </w:tcBorders>
            <w:shd w:val="clear" w:color="auto" w:fill="auto"/>
            <w:noWrap/>
            <w:hideMark/>
          </w:tcPr>
          <w:p w:rsidR="003A7606" w:rsidRPr="000C1EA6" w:rsidRDefault="003A7606" w:rsidP="00E01698">
            <w:pPr>
              <w:rPr>
                <w:color w:val="010205"/>
                <w:sz w:val="20"/>
                <w:szCs w:val="20"/>
                <w:lang w:eastAsia="cs-CZ"/>
              </w:rPr>
            </w:pPr>
            <w:r w:rsidRPr="000C1EA6">
              <w:rPr>
                <w:color w:val="010205"/>
                <w:sz w:val="20"/>
                <w:szCs w:val="20"/>
                <w:lang w:eastAsia="cs-CZ"/>
              </w:rPr>
              <w:t>2190443,08</w:t>
            </w:r>
          </w:p>
        </w:tc>
        <w:tc>
          <w:tcPr>
            <w:tcW w:w="1194" w:type="dxa"/>
            <w:tcBorders>
              <w:top w:val="nil"/>
              <w:left w:val="nil"/>
              <w:bottom w:val="nil"/>
              <w:right w:val="single" w:sz="4" w:space="0" w:color="auto"/>
            </w:tcBorders>
            <w:shd w:val="clear" w:color="auto" w:fill="auto"/>
            <w:noWrap/>
            <w:hideMark/>
          </w:tcPr>
          <w:p w:rsidR="003A7606" w:rsidRPr="000C1EA6" w:rsidRDefault="003A7606" w:rsidP="00E01698">
            <w:pPr>
              <w:rPr>
                <w:color w:val="010205"/>
                <w:sz w:val="20"/>
                <w:szCs w:val="20"/>
                <w:lang w:eastAsia="cs-CZ"/>
              </w:rPr>
            </w:pPr>
            <w:r w:rsidRPr="000C1EA6">
              <w:rPr>
                <w:color w:val="010205"/>
                <w:sz w:val="20"/>
                <w:szCs w:val="20"/>
                <w:lang w:eastAsia="cs-CZ"/>
              </w:rPr>
              <w:t>25,18</w:t>
            </w:r>
          </w:p>
        </w:tc>
      </w:tr>
      <w:tr w:rsidR="003A7606" w:rsidRPr="000C1EA6" w:rsidTr="001545FF">
        <w:trPr>
          <w:trHeight w:val="170"/>
        </w:trPr>
        <w:tc>
          <w:tcPr>
            <w:tcW w:w="3982" w:type="dxa"/>
            <w:tcBorders>
              <w:top w:val="nil"/>
              <w:left w:val="single" w:sz="4" w:space="0" w:color="auto"/>
              <w:bottom w:val="nil"/>
              <w:right w:val="nil"/>
            </w:tcBorders>
            <w:shd w:val="clear" w:color="auto" w:fill="auto"/>
            <w:noWrap/>
            <w:vAlign w:val="bottom"/>
            <w:hideMark/>
          </w:tcPr>
          <w:p w:rsidR="003A7606" w:rsidRPr="000C1EA6" w:rsidRDefault="003A7606" w:rsidP="00E01698">
            <w:pPr>
              <w:rPr>
                <w:sz w:val="20"/>
                <w:szCs w:val="20"/>
                <w:lang w:eastAsia="cs-CZ"/>
              </w:rPr>
            </w:pPr>
            <w:r w:rsidRPr="000C1EA6">
              <w:rPr>
                <w:sz w:val="20"/>
                <w:szCs w:val="20"/>
                <w:lang w:eastAsia="cs-CZ"/>
              </w:rPr>
              <w:t> </w:t>
            </w:r>
          </w:p>
        </w:tc>
        <w:tc>
          <w:tcPr>
            <w:tcW w:w="1655" w:type="dxa"/>
            <w:tcBorders>
              <w:top w:val="single" w:sz="4" w:space="0" w:color="AEAEAE"/>
              <w:left w:val="nil"/>
              <w:bottom w:val="nil"/>
              <w:right w:val="nil"/>
            </w:tcBorders>
            <w:shd w:val="clear" w:color="auto" w:fill="auto"/>
            <w:noWrap/>
            <w:hideMark/>
          </w:tcPr>
          <w:p w:rsidR="003A7606" w:rsidRPr="000C1EA6" w:rsidRDefault="003A7606" w:rsidP="00E01698">
            <w:pPr>
              <w:rPr>
                <w:b/>
                <w:color w:val="010205"/>
                <w:sz w:val="20"/>
                <w:szCs w:val="20"/>
                <w:lang w:eastAsia="cs-CZ"/>
              </w:rPr>
            </w:pPr>
            <w:r w:rsidRPr="000C1EA6">
              <w:rPr>
                <w:b/>
                <w:color w:val="010205"/>
                <w:sz w:val="20"/>
                <w:szCs w:val="20"/>
                <w:lang w:eastAsia="cs-CZ"/>
              </w:rPr>
              <w:t>5% Trimmed Mean</w:t>
            </w:r>
          </w:p>
        </w:tc>
        <w:tc>
          <w:tcPr>
            <w:tcW w:w="1089" w:type="dxa"/>
            <w:tcBorders>
              <w:top w:val="single" w:sz="4" w:space="0" w:color="AEAEAE"/>
              <w:left w:val="nil"/>
              <w:bottom w:val="nil"/>
              <w:right w:val="nil"/>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39,91</w:t>
            </w:r>
          </w:p>
        </w:tc>
        <w:tc>
          <w:tcPr>
            <w:tcW w:w="1152" w:type="dxa"/>
            <w:tcBorders>
              <w:top w:val="single" w:sz="4" w:space="0" w:color="AEAEAE"/>
              <w:left w:val="nil"/>
              <w:bottom w:val="nil"/>
              <w:right w:val="nil"/>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256,01</w:t>
            </w:r>
          </w:p>
        </w:tc>
        <w:tc>
          <w:tcPr>
            <w:tcW w:w="1194" w:type="dxa"/>
            <w:tcBorders>
              <w:top w:val="single" w:sz="4" w:space="0" w:color="AEAEAE"/>
              <w:left w:val="nil"/>
              <w:bottom w:val="nil"/>
              <w:right w:val="single" w:sz="4" w:space="0" w:color="auto"/>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931,07</w:t>
            </w:r>
          </w:p>
        </w:tc>
      </w:tr>
      <w:tr w:rsidR="003A7606" w:rsidRPr="000C1EA6" w:rsidTr="001545FF">
        <w:trPr>
          <w:trHeight w:val="170"/>
        </w:trPr>
        <w:tc>
          <w:tcPr>
            <w:tcW w:w="3982" w:type="dxa"/>
            <w:tcBorders>
              <w:top w:val="nil"/>
              <w:left w:val="single" w:sz="4" w:space="0" w:color="auto"/>
              <w:bottom w:val="single" w:sz="4" w:space="0" w:color="auto"/>
              <w:right w:val="nil"/>
            </w:tcBorders>
            <w:shd w:val="clear" w:color="auto" w:fill="auto"/>
            <w:noWrap/>
            <w:vAlign w:val="bottom"/>
            <w:hideMark/>
          </w:tcPr>
          <w:p w:rsidR="003A7606" w:rsidRPr="000C1EA6" w:rsidRDefault="003A7606" w:rsidP="00E01698">
            <w:pPr>
              <w:rPr>
                <w:sz w:val="20"/>
                <w:szCs w:val="20"/>
                <w:lang w:eastAsia="cs-CZ"/>
              </w:rPr>
            </w:pPr>
            <w:r w:rsidRPr="000C1EA6">
              <w:rPr>
                <w:sz w:val="20"/>
                <w:szCs w:val="20"/>
                <w:lang w:eastAsia="cs-CZ"/>
              </w:rPr>
              <w:t> </w:t>
            </w:r>
          </w:p>
        </w:tc>
        <w:tc>
          <w:tcPr>
            <w:tcW w:w="1655" w:type="dxa"/>
            <w:tcBorders>
              <w:top w:val="single" w:sz="4" w:space="0" w:color="AEAEAE"/>
              <w:left w:val="nil"/>
              <w:bottom w:val="single" w:sz="4" w:space="0" w:color="auto"/>
              <w:right w:val="nil"/>
            </w:tcBorders>
            <w:shd w:val="clear" w:color="auto" w:fill="auto"/>
            <w:noWrap/>
            <w:hideMark/>
          </w:tcPr>
          <w:p w:rsidR="003A7606" w:rsidRPr="000C1EA6" w:rsidRDefault="003A7606" w:rsidP="00E01698">
            <w:pPr>
              <w:rPr>
                <w:b/>
                <w:color w:val="010205"/>
                <w:sz w:val="20"/>
                <w:szCs w:val="20"/>
                <w:lang w:eastAsia="cs-CZ"/>
              </w:rPr>
            </w:pPr>
            <w:r w:rsidRPr="000C1EA6">
              <w:rPr>
                <w:b/>
                <w:color w:val="010205"/>
                <w:sz w:val="20"/>
                <w:szCs w:val="20"/>
                <w:lang w:eastAsia="cs-CZ"/>
              </w:rPr>
              <w:t>Median</w:t>
            </w:r>
          </w:p>
        </w:tc>
        <w:tc>
          <w:tcPr>
            <w:tcW w:w="1089" w:type="dxa"/>
            <w:tcBorders>
              <w:top w:val="single" w:sz="4" w:space="0" w:color="AEAEAE"/>
              <w:left w:val="nil"/>
              <w:bottom w:val="single" w:sz="4" w:space="0" w:color="auto"/>
              <w:right w:val="nil"/>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17,02</w:t>
            </w:r>
          </w:p>
        </w:tc>
        <w:tc>
          <w:tcPr>
            <w:tcW w:w="1152" w:type="dxa"/>
            <w:tcBorders>
              <w:top w:val="single" w:sz="4" w:space="0" w:color="AEAEAE"/>
              <w:left w:val="nil"/>
              <w:bottom w:val="single" w:sz="4" w:space="0" w:color="auto"/>
              <w:right w:val="nil"/>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45,81</w:t>
            </w:r>
          </w:p>
        </w:tc>
        <w:tc>
          <w:tcPr>
            <w:tcW w:w="1194" w:type="dxa"/>
            <w:tcBorders>
              <w:top w:val="single" w:sz="4" w:space="0" w:color="AEAEAE"/>
              <w:left w:val="nil"/>
              <w:bottom w:val="single" w:sz="4" w:space="0" w:color="auto"/>
              <w:right w:val="single" w:sz="4" w:space="0" w:color="auto"/>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47,16</w:t>
            </w:r>
          </w:p>
        </w:tc>
      </w:tr>
      <w:tr w:rsidR="003A7606" w:rsidRPr="000C1EA6" w:rsidTr="001545FF">
        <w:trPr>
          <w:trHeight w:val="170"/>
        </w:trPr>
        <w:tc>
          <w:tcPr>
            <w:tcW w:w="3982" w:type="dxa"/>
            <w:tcBorders>
              <w:top w:val="single" w:sz="4" w:space="0" w:color="auto"/>
              <w:left w:val="single" w:sz="4" w:space="0" w:color="auto"/>
              <w:bottom w:val="nil"/>
              <w:right w:val="nil"/>
            </w:tcBorders>
            <w:shd w:val="clear" w:color="auto" w:fill="auto"/>
            <w:noWrap/>
            <w:hideMark/>
          </w:tcPr>
          <w:p w:rsidR="003A7606" w:rsidRPr="000C1EA6" w:rsidRDefault="003A7606" w:rsidP="00E01698">
            <w:pPr>
              <w:rPr>
                <w:color w:val="010205"/>
                <w:sz w:val="20"/>
                <w:szCs w:val="20"/>
                <w:lang w:eastAsia="cs-CZ"/>
              </w:rPr>
            </w:pPr>
            <w:r w:rsidRPr="000C1EA6">
              <w:rPr>
                <w:color w:val="010205"/>
                <w:sz w:val="20"/>
                <w:szCs w:val="20"/>
                <w:lang w:eastAsia="cs-CZ"/>
              </w:rPr>
              <w:t>Doba obratu pohledávek</w:t>
            </w:r>
          </w:p>
        </w:tc>
        <w:tc>
          <w:tcPr>
            <w:tcW w:w="1655" w:type="dxa"/>
            <w:tcBorders>
              <w:top w:val="single" w:sz="4" w:space="0" w:color="auto"/>
              <w:left w:val="nil"/>
              <w:bottom w:val="nil"/>
              <w:right w:val="nil"/>
            </w:tcBorders>
            <w:shd w:val="clear" w:color="auto" w:fill="auto"/>
            <w:noWrap/>
            <w:hideMark/>
          </w:tcPr>
          <w:p w:rsidR="003A7606" w:rsidRPr="000C1EA6" w:rsidRDefault="003A7606" w:rsidP="00E01698">
            <w:pPr>
              <w:rPr>
                <w:color w:val="010205"/>
                <w:sz w:val="20"/>
                <w:szCs w:val="20"/>
                <w:lang w:eastAsia="cs-CZ"/>
              </w:rPr>
            </w:pPr>
            <w:r w:rsidRPr="000C1EA6">
              <w:rPr>
                <w:color w:val="010205"/>
                <w:sz w:val="20"/>
                <w:szCs w:val="20"/>
                <w:lang w:eastAsia="cs-CZ"/>
              </w:rPr>
              <w:t>Mean</w:t>
            </w:r>
          </w:p>
        </w:tc>
        <w:tc>
          <w:tcPr>
            <w:tcW w:w="1089" w:type="dxa"/>
            <w:tcBorders>
              <w:top w:val="single" w:sz="4" w:space="0" w:color="auto"/>
              <w:left w:val="nil"/>
              <w:bottom w:val="nil"/>
              <w:right w:val="nil"/>
            </w:tcBorders>
            <w:shd w:val="clear" w:color="auto" w:fill="auto"/>
            <w:noWrap/>
            <w:hideMark/>
          </w:tcPr>
          <w:p w:rsidR="003A7606" w:rsidRPr="000C1EA6" w:rsidRDefault="003A7606" w:rsidP="00E01698">
            <w:pPr>
              <w:rPr>
                <w:color w:val="010205"/>
                <w:sz w:val="20"/>
                <w:szCs w:val="20"/>
                <w:lang w:eastAsia="cs-CZ"/>
              </w:rPr>
            </w:pPr>
            <w:r w:rsidRPr="000C1EA6">
              <w:rPr>
                <w:color w:val="010205"/>
                <w:sz w:val="20"/>
                <w:szCs w:val="20"/>
                <w:lang w:eastAsia="cs-CZ"/>
              </w:rPr>
              <w:t>32297,61</w:t>
            </w:r>
          </w:p>
        </w:tc>
        <w:tc>
          <w:tcPr>
            <w:tcW w:w="1152" w:type="dxa"/>
            <w:tcBorders>
              <w:top w:val="single" w:sz="4" w:space="0" w:color="auto"/>
              <w:left w:val="nil"/>
              <w:bottom w:val="nil"/>
              <w:right w:val="nil"/>
            </w:tcBorders>
            <w:shd w:val="clear" w:color="auto" w:fill="auto"/>
            <w:noWrap/>
            <w:hideMark/>
          </w:tcPr>
          <w:p w:rsidR="003A7606" w:rsidRPr="000C1EA6" w:rsidRDefault="003A7606" w:rsidP="00E01698">
            <w:pPr>
              <w:rPr>
                <w:color w:val="010205"/>
                <w:sz w:val="20"/>
                <w:szCs w:val="20"/>
                <w:lang w:eastAsia="cs-CZ"/>
              </w:rPr>
            </w:pPr>
            <w:r w:rsidRPr="000C1EA6">
              <w:rPr>
                <w:color w:val="010205"/>
                <w:sz w:val="20"/>
                <w:szCs w:val="20"/>
                <w:lang w:eastAsia="cs-CZ"/>
              </w:rPr>
              <w:t>25038,59</w:t>
            </w:r>
          </w:p>
        </w:tc>
        <w:tc>
          <w:tcPr>
            <w:tcW w:w="1194" w:type="dxa"/>
            <w:tcBorders>
              <w:top w:val="single" w:sz="4" w:space="0" w:color="auto"/>
              <w:left w:val="nil"/>
              <w:bottom w:val="nil"/>
              <w:right w:val="single" w:sz="4" w:space="0" w:color="auto"/>
            </w:tcBorders>
            <w:shd w:val="clear" w:color="auto" w:fill="auto"/>
            <w:noWrap/>
            <w:hideMark/>
          </w:tcPr>
          <w:p w:rsidR="003A7606" w:rsidRPr="000C1EA6" w:rsidRDefault="003A7606" w:rsidP="00E01698">
            <w:pPr>
              <w:rPr>
                <w:color w:val="010205"/>
                <w:sz w:val="20"/>
                <w:szCs w:val="20"/>
                <w:lang w:eastAsia="cs-CZ"/>
              </w:rPr>
            </w:pPr>
            <w:r w:rsidRPr="000C1EA6">
              <w:rPr>
                <w:color w:val="010205"/>
                <w:sz w:val="20"/>
                <w:szCs w:val="20"/>
                <w:lang w:eastAsia="cs-CZ"/>
              </w:rPr>
              <w:t>3794,86</w:t>
            </w:r>
          </w:p>
        </w:tc>
      </w:tr>
      <w:tr w:rsidR="003A7606" w:rsidRPr="000C1EA6" w:rsidTr="001545FF">
        <w:trPr>
          <w:trHeight w:val="170"/>
        </w:trPr>
        <w:tc>
          <w:tcPr>
            <w:tcW w:w="3982" w:type="dxa"/>
            <w:tcBorders>
              <w:top w:val="nil"/>
              <w:left w:val="single" w:sz="4" w:space="0" w:color="auto"/>
              <w:bottom w:val="nil"/>
              <w:right w:val="nil"/>
            </w:tcBorders>
            <w:shd w:val="clear" w:color="auto" w:fill="auto"/>
            <w:noWrap/>
            <w:vAlign w:val="bottom"/>
            <w:hideMark/>
          </w:tcPr>
          <w:p w:rsidR="003A7606" w:rsidRPr="000C1EA6" w:rsidRDefault="003A7606" w:rsidP="00E01698">
            <w:pPr>
              <w:rPr>
                <w:sz w:val="20"/>
                <w:szCs w:val="20"/>
                <w:lang w:eastAsia="cs-CZ"/>
              </w:rPr>
            </w:pPr>
            <w:r w:rsidRPr="000C1EA6">
              <w:rPr>
                <w:sz w:val="20"/>
                <w:szCs w:val="20"/>
                <w:lang w:eastAsia="cs-CZ"/>
              </w:rPr>
              <w:t> </w:t>
            </w:r>
          </w:p>
        </w:tc>
        <w:tc>
          <w:tcPr>
            <w:tcW w:w="1655" w:type="dxa"/>
            <w:tcBorders>
              <w:top w:val="single" w:sz="4" w:space="0" w:color="AEAEAE"/>
              <w:left w:val="nil"/>
              <w:bottom w:val="nil"/>
              <w:right w:val="nil"/>
            </w:tcBorders>
            <w:shd w:val="clear" w:color="auto" w:fill="auto"/>
            <w:noWrap/>
            <w:hideMark/>
          </w:tcPr>
          <w:p w:rsidR="003A7606" w:rsidRPr="000C1EA6" w:rsidRDefault="003A7606" w:rsidP="00E01698">
            <w:pPr>
              <w:rPr>
                <w:b/>
                <w:color w:val="010205"/>
                <w:sz w:val="20"/>
                <w:szCs w:val="20"/>
                <w:lang w:eastAsia="cs-CZ"/>
              </w:rPr>
            </w:pPr>
            <w:r w:rsidRPr="000C1EA6">
              <w:rPr>
                <w:b/>
                <w:color w:val="010205"/>
                <w:sz w:val="20"/>
                <w:szCs w:val="20"/>
                <w:lang w:eastAsia="cs-CZ"/>
              </w:rPr>
              <w:t>5% Trimmed Mean</w:t>
            </w:r>
          </w:p>
        </w:tc>
        <w:tc>
          <w:tcPr>
            <w:tcW w:w="1089" w:type="dxa"/>
            <w:tcBorders>
              <w:top w:val="single" w:sz="4" w:space="0" w:color="AEAEAE"/>
              <w:left w:val="nil"/>
              <w:bottom w:val="nil"/>
              <w:right w:val="nil"/>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152,65</w:t>
            </w:r>
          </w:p>
        </w:tc>
        <w:tc>
          <w:tcPr>
            <w:tcW w:w="1152" w:type="dxa"/>
            <w:tcBorders>
              <w:top w:val="single" w:sz="4" w:space="0" w:color="AEAEAE"/>
              <w:left w:val="nil"/>
              <w:bottom w:val="nil"/>
              <w:right w:val="nil"/>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101,36</w:t>
            </w:r>
          </w:p>
        </w:tc>
        <w:tc>
          <w:tcPr>
            <w:tcW w:w="1194" w:type="dxa"/>
            <w:tcBorders>
              <w:top w:val="single" w:sz="4" w:space="0" w:color="AEAEAE"/>
              <w:left w:val="nil"/>
              <w:bottom w:val="nil"/>
              <w:right w:val="single" w:sz="4" w:space="0" w:color="auto"/>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99,82</w:t>
            </w:r>
          </w:p>
        </w:tc>
      </w:tr>
      <w:tr w:rsidR="003A7606" w:rsidRPr="000C1EA6" w:rsidTr="001545FF">
        <w:trPr>
          <w:trHeight w:val="170"/>
        </w:trPr>
        <w:tc>
          <w:tcPr>
            <w:tcW w:w="3982" w:type="dxa"/>
            <w:tcBorders>
              <w:top w:val="nil"/>
              <w:left w:val="single" w:sz="4" w:space="0" w:color="auto"/>
              <w:bottom w:val="single" w:sz="4" w:space="0" w:color="auto"/>
              <w:right w:val="nil"/>
            </w:tcBorders>
            <w:shd w:val="clear" w:color="auto" w:fill="auto"/>
            <w:noWrap/>
            <w:vAlign w:val="bottom"/>
            <w:hideMark/>
          </w:tcPr>
          <w:p w:rsidR="003A7606" w:rsidRPr="000C1EA6" w:rsidRDefault="003A7606" w:rsidP="00E01698">
            <w:pPr>
              <w:rPr>
                <w:sz w:val="20"/>
                <w:szCs w:val="20"/>
                <w:lang w:eastAsia="cs-CZ"/>
              </w:rPr>
            </w:pPr>
            <w:r w:rsidRPr="000C1EA6">
              <w:rPr>
                <w:sz w:val="20"/>
                <w:szCs w:val="20"/>
                <w:lang w:eastAsia="cs-CZ"/>
              </w:rPr>
              <w:t> </w:t>
            </w:r>
          </w:p>
        </w:tc>
        <w:tc>
          <w:tcPr>
            <w:tcW w:w="1655" w:type="dxa"/>
            <w:tcBorders>
              <w:top w:val="single" w:sz="4" w:space="0" w:color="AEAEAE"/>
              <w:left w:val="nil"/>
              <w:bottom w:val="single" w:sz="4" w:space="0" w:color="auto"/>
              <w:right w:val="nil"/>
            </w:tcBorders>
            <w:shd w:val="clear" w:color="auto" w:fill="auto"/>
            <w:noWrap/>
            <w:hideMark/>
          </w:tcPr>
          <w:p w:rsidR="003A7606" w:rsidRPr="000C1EA6" w:rsidRDefault="003A7606" w:rsidP="00E01698">
            <w:pPr>
              <w:rPr>
                <w:b/>
                <w:color w:val="010205"/>
                <w:sz w:val="20"/>
                <w:szCs w:val="20"/>
                <w:lang w:eastAsia="cs-CZ"/>
              </w:rPr>
            </w:pPr>
            <w:r w:rsidRPr="000C1EA6">
              <w:rPr>
                <w:b/>
                <w:color w:val="010205"/>
                <w:sz w:val="20"/>
                <w:szCs w:val="20"/>
                <w:lang w:eastAsia="cs-CZ"/>
              </w:rPr>
              <w:t>Median</w:t>
            </w:r>
          </w:p>
        </w:tc>
        <w:tc>
          <w:tcPr>
            <w:tcW w:w="1089" w:type="dxa"/>
            <w:tcBorders>
              <w:top w:val="single" w:sz="4" w:space="0" w:color="AEAEAE"/>
              <w:left w:val="nil"/>
              <w:bottom w:val="single" w:sz="4" w:space="0" w:color="auto"/>
              <w:right w:val="nil"/>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76,27</w:t>
            </w:r>
          </w:p>
        </w:tc>
        <w:tc>
          <w:tcPr>
            <w:tcW w:w="1152" w:type="dxa"/>
            <w:tcBorders>
              <w:top w:val="single" w:sz="4" w:space="0" w:color="AEAEAE"/>
              <w:left w:val="nil"/>
              <w:bottom w:val="single" w:sz="4" w:space="0" w:color="auto"/>
              <w:right w:val="nil"/>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71,60</w:t>
            </w:r>
          </w:p>
        </w:tc>
        <w:tc>
          <w:tcPr>
            <w:tcW w:w="1194" w:type="dxa"/>
            <w:tcBorders>
              <w:top w:val="single" w:sz="4" w:space="0" w:color="AEAEAE"/>
              <w:left w:val="nil"/>
              <w:bottom w:val="single" w:sz="4" w:space="0" w:color="auto"/>
              <w:right w:val="single" w:sz="4" w:space="0" w:color="auto"/>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71,33</w:t>
            </w:r>
          </w:p>
        </w:tc>
      </w:tr>
      <w:tr w:rsidR="003A7606" w:rsidRPr="000C1EA6" w:rsidTr="001545FF">
        <w:trPr>
          <w:trHeight w:val="170"/>
        </w:trPr>
        <w:tc>
          <w:tcPr>
            <w:tcW w:w="3982" w:type="dxa"/>
            <w:tcBorders>
              <w:top w:val="single" w:sz="4" w:space="0" w:color="auto"/>
              <w:left w:val="single" w:sz="4" w:space="0" w:color="auto"/>
              <w:bottom w:val="nil"/>
              <w:right w:val="nil"/>
            </w:tcBorders>
            <w:shd w:val="clear" w:color="auto" w:fill="auto"/>
            <w:noWrap/>
            <w:hideMark/>
          </w:tcPr>
          <w:p w:rsidR="003A7606" w:rsidRPr="000C1EA6" w:rsidRDefault="003A7606" w:rsidP="00E01698">
            <w:pPr>
              <w:rPr>
                <w:color w:val="010205"/>
                <w:sz w:val="20"/>
                <w:szCs w:val="20"/>
                <w:lang w:eastAsia="cs-CZ"/>
              </w:rPr>
            </w:pPr>
            <w:r w:rsidRPr="000C1EA6">
              <w:rPr>
                <w:color w:val="010205"/>
                <w:sz w:val="20"/>
                <w:szCs w:val="20"/>
                <w:lang w:eastAsia="cs-CZ"/>
              </w:rPr>
              <w:t>Doba obratu závazků</w:t>
            </w:r>
          </w:p>
        </w:tc>
        <w:tc>
          <w:tcPr>
            <w:tcW w:w="1655" w:type="dxa"/>
            <w:tcBorders>
              <w:top w:val="single" w:sz="4" w:space="0" w:color="auto"/>
              <w:left w:val="nil"/>
              <w:bottom w:val="nil"/>
              <w:right w:val="nil"/>
            </w:tcBorders>
            <w:shd w:val="clear" w:color="auto" w:fill="auto"/>
            <w:noWrap/>
            <w:hideMark/>
          </w:tcPr>
          <w:p w:rsidR="003A7606" w:rsidRPr="000C1EA6" w:rsidRDefault="003A7606" w:rsidP="00E01698">
            <w:pPr>
              <w:rPr>
                <w:color w:val="010205"/>
                <w:sz w:val="20"/>
                <w:szCs w:val="20"/>
                <w:lang w:eastAsia="cs-CZ"/>
              </w:rPr>
            </w:pPr>
            <w:r w:rsidRPr="000C1EA6">
              <w:rPr>
                <w:color w:val="010205"/>
                <w:sz w:val="20"/>
                <w:szCs w:val="20"/>
                <w:lang w:eastAsia="cs-CZ"/>
              </w:rPr>
              <w:t>Mean</w:t>
            </w:r>
          </w:p>
        </w:tc>
        <w:tc>
          <w:tcPr>
            <w:tcW w:w="1089" w:type="dxa"/>
            <w:tcBorders>
              <w:top w:val="single" w:sz="4" w:space="0" w:color="auto"/>
              <w:left w:val="nil"/>
              <w:bottom w:val="nil"/>
              <w:right w:val="nil"/>
            </w:tcBorders>
            <w:shd w:val="clear" w:color="auto" w:fill="auto"/>
            <w:noWrap/>
            <w:hideMark/>
          </w:tcPr>
          <w:p w:rsidR="003A7606" w:rsidRPr="000C1EA6" w:rsidRDefault="003A7606" w:rsidP="00E01698">
            <w:pPr>
              <w:rPr>
                <w:color w:val="010205"/>
                <w:sz w:val="20"/>
                <w:szCs w:val="20"/>
                <w:lang w:eastAsia="cs-CZ"/>
              </w:rPr>
            </w:pPr>
            <w:r w:rsidRPr="000C1EA6">
              <w:rPr>
                <w:color w:val="010205"/>
                <w:sz w:val="20"/>
                <w:szCs w:val="20"/>
                <w:lang w:eastAsia="cs-CZ"/>
              </w:rPr>
              <w:t>54586,89</w:t>
            </w:r>
          </w:p>
        </w:tc>
        <w:tc>
          <w:tcPr>
            <w:tcW w:w="1152" w:type="dxa"/>
            <w:tcBorders>
              <w:top w:val="single" w:sz="4" w:space="0" w:color="auto"/>
              <w:left w:val="nil"/>
              <w:bottom w:val="nil"/>
              <w:right w:val="nil"/>
            </w:tcBorders>
            <w:shd w:val="clear" w:color="auto" w:fill="auto"/>
            <w:noWrap/>
            <w:hideMark/>
          </w:tcPr>
          <w:p w:rsidR="003A7606" w:rsidRPr="000C1EA6" w:rsidRDefault="003A7606" w:rsidP="00E01698">
            <w:pPr>
              <w:rPr>
                <w:color w:val="010205"/>
                <w:sz w:val="20"/>
                <w:szCs w:val="20"/>
                <w:lang w:eastAsia="cs-CZ"/>
              </w:rPr>
            </w:pPr>
            <w:r w:rsidRPr="000C1EA6">
              <w:rPr>
                <w:color w:val="010205"/>
                <w:sz w:val="20"/>
                <w:szCs w:val="20"/>
                <w:lang w:eastAsia="cs-CZ"/>
              </w:rPr>
              <w:t>71821,73</w:t>
            </w:r>
          </w:p>
        </w:tc>
        <w:tc>
          <w:tcPr>
            <w:tcW w:w="1194" w:type="dxa"/>
            <w:tcBorders>
              <w:top w:val="single" w:sz="4" w:space="0" w:color="auto"/>
              <w:left w:val="nil"/>
              <w:bottom w:val="nil"/>
              <w:right w:val="single" w:sz="4" w:space="0" w:color="auto"/>
            </w:tcBorders>
            <w:shd w:val="clear" w:color="auto" w:fill="auto"/>
            <w:noWrap/>
            <w:hideMark/>
          </w:tcPr>
          <w:p w:rsidR="003A7606" w:rsidRPr="000C1EA6" w:rsidRDefault="003A7606" w:rsidP="00E01698">
            <w:pPr>
              <w:rPr>
                <w:color w:val="010205"/>
                <w:sz w:val="20"/>
                <w:szCs w:val="20"/>
                <w:lang w:eastAsia="cs-CZ"/>
              </w:rPr>
            </w:pPr>
            <w:r w:rsidRPr="000C1EA6">
              <w:rPr>
                <w:color w:val="010205"/>
                <w:sz w:val="20"/>
                <w:szCs w:val="20"/>
                <w:lang w:eastAsia="cs-CZ"/>
              </w:rPr>
              <w:t>5132,65</w:t>
            </w:r>
          </w:p>
        </w:tc>
      </w:tr>
      <w:tr w:rsidR="003A7606" w:rsidRPr="000C1EA6" w:rsidTr="001545FF">
        <w:trPr>
          <w:trHeight w:val="170"/>
        </w:trPr>
        <w:tc>
          <w:tcPr>
            <w:tcW w:w="3982" w:type="dxa"/>
            <w:tcBorders>
              <w:top w:val="nil"/>
              <w:left w:val="single" w:sz="4" w:space="0" w:color="auto"/>
              <w:bottom w:val="nil"/>
              <w:right w:val="nil"/>
            </w:tcBorders>
            <w:shd w:val="clear" w:color="auto" w:fill="auto"/>
            <w:noWrap/>
            <w:vAlign w:val="bottom"/>
            <w:hideMark/>
          </w:tcPr>
          <w:p w:rsidR="003A7606" w:rsidRPr="000C1EA6" w:rsidRDefault="003A7606" w:rsidP="00E01698">
            <w:pPr>
              <w:rPr>
                <w:sz w:val="20"/>
                <w:szCs w:val="20"/>
                <w:lang w:eastAsia="cs-CZ"/>
              </w:rPr>
            </w:pPr>
            <w:r w:rsidRPr="000C1EA6">
              <w:rPr>
                <w:sz w:val="20"/>
                <w:szCs w:val="20"/>
                <w:lang w:eastAsia="cs-CZ"/>
              </w:rPr>
              <w:t> </w:t>
            </w:r>
          </w:p>
        </w:tc>
        <w:tc>
          <w:tcPr>
            <w:tcW w:w="1655" w:type="dxa"/>
            <w:tcBorders>
              <w:top w:val="single" w:sz="4" w:space="0" w:color="AEAEAE"/>
              <w:left w:val="nil"/>
              <w:bottom w:val="nil"/>
              <w:right w:val="nil"/>
            </w:tcBorders>
            <w:shd w:val="clear" w:color="auto" w:fill="auto"/>
            <w:noWrap/>
            <w:hideMark/>
          </w:tcPr>
          <w:p w:rsidR="003A7606" w:rsidRPr="000C1EA6" w:rsidRDefault="003A7606" w:rsidP="00E01698">
            <w:pPr>
              <w:rPr>
                <w:b/>
                <w:color w:val="010205"/>
                <w:sz w:val="20"/>
                <w:szCs w:val="20"/>
                <w:lang w:eastAsia="cs-CZ"/>
              </w:rPr>
            </w:pPr>
            <w:r w:rsidRPr="000C1EA6">
              <w:rPr>
                <w:b/>
                <w:color w:val="010205"/>
                <w:sz w:val="20"/>
                <w:szCs w:val="20"/>
                <w:lang w:eastAsia="cs-CZ"/>
              </w:rPr>
              <w:t>5% Trimmed Mean</w:t>
            </w:r>
          </w:p>
        </w:tc>
        <w:tc>
          <w:tcPr>
            <w:tcW w:w="1089" w:type="dxa"/>
            <w:tcBorders>
              <w:top w:val="single" w:sz="4" w:space="0" w:color="AEAEAE"/>
              <w:left w:val="nil"/>
              <w:bottom w:val="nil"/>
              <w:right w:val="nil"/>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465,07</w:t>
            </w:r>
          </w:p>
        </w:tc>
        <w:tc>
          <w:tcPr>
            <w:tcW w:w="1152" w:type="dxa"/>
            <w:tcBorders>
              <w:top w:val="single" w:sz="4" w:space="0" w:color="AEAEAE"/>
              <w:left w:val="nil"/>
              <w:bottom w:val="nil"/>
              <w:right w:val="nil"/>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233,49</w:t>
            </w:r>
          </w:p>
        </w:tc>
        <w:tc>
          <w:tcPr>
            <w:tcW w:w="1194" w:type="dxa"/>
            <w:tcBorders>
              <w:top w:val="single" w:sz="4" w:space="0" w:color="AEAEAE"/>
              <w:left w:val="nil"/>
              <w:bottom w:val="nil"/>
              <w:right w:val="single" w:sz="4" w:space="0" w:color="auto"/>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194,04</w:t>
            </w:r>
          </w:p>
        </w:tc>
      </w:tr>
      <w:tr w:rsidR="003A7606" w:rsidRPr="000C1EA6" w:rsidTr="001545FF">
        <w:trPr>
          <w:trHeight w:val="170"/>
        </w:trPr>
        <w:tc>
          <w:tcPr>
            <w:tcW w:w="3982" w:type="dxa"/>
            <w:tcBorders>
              <w:top w:val="nil"/>
              <w:left w:val="single" w:sz="4" w:space="0" w:color="auto"/>
              <w:bottom w:val="single" w:sz="4" w:space="0" w:color="auto"/>
              <w:right w:val="nil"/>
            </w:tcBorders>
            <w:shd w:val="clear" w:color="auto" w:fill="auto"/>
            <w:noWrap/>
            <w:vAlign w:val="bottom"/>
            <w:hideMark/>
          </w:tcPr>
          <w:p w:rsidR="003A7606" w:rsidRPr="000C1EA6" w:rsidRDefault="003A7606" w:rsidP="00E01698">
            <w:pPr>
              <w:rPr>
                <w:sz w:val="20"/>
                <w:szCs w:val="20"/>
                <w:lang w:eastAsia="cs-CZ"/>
              </w:rPr>
            </w:pPr>
            <w:r w:rsidRPr="000C1EA6">
              <w:rPr>
                <w:sz w:val="20"/>
                <w:szCs w:val="20"/>
                <w:lang w:eastAsia="cs-CZ"/>
              </w:rPr>
              <w:t> </w:t>
            </w:r>
          </w:p>
        </w:tc>
        <w:tc>
          <w:tcPr>
            <w:tcW w:w="1655" w:type="dxa"/>
            <w:tcBorders>
              <w:top w:val="single" w:sz="4" w:space="0" w:color="AEAEAE"/>
              <w:left w:val="nil"/>
              <w:bottom w:val="single" w:sz="4" w:space="0" w:color="auto"/>
              <w:right w:val="nil"/>
            </w:tcBorders>
            <w:shd w:val="clear" w:color="auto" w:fill="auto"/>
            <w:noWrap/>
            <w:hideMark/>
          </w:tcPr>
          <w:p w:rsidR="003A7606" w:rsidRPr="000C1EA6" w:rsidRDefault="003A7606" w:rsidP="00E01698">
            <w:pPr>
              <w:rPr>
                <w:b/>
                <w:color w:val="010205"/>
                <w:sz w:val="20"/>
                <w:szCs w:val="20"/>
                <w:lang w:eastAsia="cs-CZ"/>
              </w:rPr>
            </w:pPr>
            <w:r w:rsidRPr="000C1EA6">
              <w:rPr>
                <w:b/>
                <w:color w:val="010205"/>
                <w:sz w:val="20"/>
                <w:szCs w:val="20"/>
                <w:lang w:eastAsia="cs-CZ"/>
              </w:rPr>
              <w:t>Median</w:t>
            </w:r>
          </w:p>
        </w:tc>
        <w:tc>
          <w:tcPr>
            <w:tcW w:w="1089" w:type="dxa"/>
            <w:tcBorders>
              <w:top w:val="single" w:sz="4" w:space="0" w:color="AEAEAE"/>
              <w:left w:val="nil"/>
              <w:bottom w:val="single" w:sz="4" w:space="0" w:color="auto"/>
              <w:right w:val="nil"/>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222,36</w:t>
            </w:r>
          </w:p>
        </w:tc>
        <w:tc>
          <w:tcPr>
            <w:tcW w:w="1152" w:type="dxa"/>
            <w:tcBorders>
              <w:top w:val="single" w:sz="4" w:space="0" w:color="AEAEAE"/>
              <w:left w:val="nil"/>
              <w:bottom w:val="single" w:sz="4" w:space="0" w:color="auto"/>
              <w:right w:val="nil"/>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158,40</w:t>
            </w:r>
          </w:p>
        </w:tc>
        <w:tc>
          <w:tcPr>
            <w:tcW w:w="1194" w:type="dxa"/>
            <w:tcBorders>
              <w:top w:val="single" w:sz="4" w:space="0" w:color="AEAEAE"/>
              <w:left w:val="nil"/>
              <w:bottom w:val="single" w:sz="4" w:space="0" w:color="auto"/>
              <w:right w:val="single" w:sz="4" w:space="0" w:color="auto"/>
            </w:tcBorders>
            <w:shd w:val="clear" w:color="auto" w:fill="auto"/>
            <w:noWrap/>
            <w:hideMark/>
          </w:tcPr>
          <w:p w:rsidR="003A7606" w:rsidRPr="000C1EA6" w:rsidRDefault="003A7606" w:rsidP="00E01698">
            <w:pPr>
              <w:rPr>
                <w:b/>
                <w:color w:val="FF0000"/>
                <w:sz w:val="20"/>
                <w:szCs w:val="20"/>
                <w:lang w:eastAsia="cs-CZ"/>
              </w:rPr>
            </w:pPr>
            <w:r w:rsidRPr="000C1EA6">
              <w:rPr>
                <w:b/>
                <w:color w:val="FF0000"/>
                <w:sz w:val="20"/>
                <w:szCs w:val="20"/>
                <w:lang w:eastAsia="cs-CZ"/>
              </w:rPr>
              <w:t>137,28</w:t>
            </w:r>
          </w:p>
        </w:tc>
      </w:tr>
    </w:tbl>
    <w:p w:rsidR="00E01698" w:rsidRDefault="00E01698" w:rsidP="00E01698"/>
    <w:p w:rsidR="00847272" w:rsidRDefault="00847272" w:rsidP="005A5A62">
      <w:pPr>
        <w:pStyle w:val="Nadpis3"/>
        <w:numPr>
          <w:ilvl w:val="2"/>
          <w:numId w:val="15"/>
        </w:numPr>
      </w:pPr>
      <w:bookmarkStart w:id="113" w:name="_Toc31054468"/>
      <w:r w:rsidRPr="00CF225B">
        <w:t>Syntetické ukazatele</w:t>
      </w:r>
      <w:bookmarkEnd w:id="113"/>
    </w:p>
    <w:p w:rsidR="001545FF" w:rsidRDefault="001545FF" w:rsidP="001545FF">
      <w:pPr>
        <w:pStyle w:val="Titulek"/>
        <w:keepNext/>
      </w:pPr>
      <w:bookmarkStart w:id="114" w:name="_Toc31054818"/>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42</w:t>
      </w:r>
      <w:r w:rsidR="00163A91">
        <w:rPr>
          <w:noProof/>
        </w:rPr>
        <w:fldChar w:fldCharType="end"/>
      </w:r>
      <w:r>
        <w:t xml:space="preserve"> Syntetické ukazatele</w:t>
      </w:r>
      <w:bookmarkEnd w:id="114"/>
    </w:p>
    <w:tbl>
      <w:tblPr>
        <w:tblW w:w="9072" w:type="dxa"/>
        <w:tblCellMar>
          <w:left w:w="70" w:type="dxa"/>
          <w:right w:w="70" w:type="dxa"/>
        </w:tblCellMar>
        <w:tblLook w:val="04A0"/>
      </w:tblPr>
      <w:tblGrid>
        <w:gridCol w:w="3964"/>
        <w:gridCol w:w="1418"/>
        <w:gridCol w:w="1276"/>
        <w:gridCol w:w="1275"/>
        <w:gridCol w:w="1139"/>
      </w:tblGrid>
      <w:tr w:rsidR="007C45E1" w:rsidRPr="00CF225B" w:rsidTr="006873B7">
        <w:trPr>
          <w:trHeight w:val="170"/>
        </w:trPr>
        <w:tc>
          <w:tcPr>
            <w:tcW w:w="3964" w:type="dxa"/>
            <w:tcBorders>
              <w:top w:val="single" w:sz="4" w:space="0" w:color="auto"/>
              <w:left w:val="single" w:sz="4" w:space="0" w:color="auto"/>
              <w:bottom w:val="single" w:sz="4" w:space="0" w:color="auto"/>
              <w:right w:val="nil"/>
            </w:tcBorders>
            <w:shd w:val="clear" w:color="auto" w:fill="auto"/>
            <w:noWrap/>
            <w:vAlign w:val="bottom"/>
            <w:hideMark/>
          </w:tcPr>
          <w:p w:rsidR="007C45E1" w:rsidRPr="00CF225B" w:rsidRDefault="007C45E1" w:rsidP="00E01698">
            <w:pPr>
              <w:rPr>
                <w:rFonts w:eastAsia="Times New Roman" w:cs="Times New Roman"/>
                <w:color w:val="000000"/>
                <w:sz w:val="20"/>
                <w:szCs w:val="20"/>
                <w:lang w:eastAsia="cs-CZ"/>
              </w:rPr>
            </w:pPr>
            <w:r w:rsidRPr="00CF225B">
              <w:rPr>
                <w:rFonts w:eastAsia="Times New Roman" w:cs="Times New Roman"/>
                <w:color w:val="000000"/>
                <w:sz w:val="20"/>
                <w:szCs w:val="20"/>
                <w:lang w:eastAsia="cs-CZ"/>
              </w:rPr>
              <w:t> </w:t>
            </w:r>
          </w:p>
        </w:tc>
        <w:tc>
          <w:tcPr>
            <w:tcW w:w="1418" w:type="dxa"/>
            <w:tcBorders>
              <w:top w:val="single" w:sz="4" w:space="0" w:color="auto"/>
              <w:left w:val="nil"/>
              <w:bottom w:val="single" w:sz="4" w:space="0" w:color="auto"/>
              <w:right w:val="nil"/>
            </w:tcBorders>
            <w:shd w:val="clear" w:color="auto" w:fill="auto"/>
            <w:noWrap/>
            <w:vAlign w:val="bottom"/>
            <w:hideMark/>
          </w:tcPr>
          <w:p w:rsidR="007C45E1" w:rsidRPr="00CF225B" w:rsidRDefault="007C45E1" w:rsidP="00E01698">
            <w:pPr>
              <w:rPr>
                <w:rFonts w:eastAsia="Times New Roman" w:cs="Times New Roman"/>
                <w:color w:val="000000"/>
                <w:sz w:val="20"/>
                <w:szCs w:val="20"/>
                <w:lang w:eastAsia="cs-CZ"/>
              </w:rPr>
            </w:pPr>
          </w:p>
        </w:tc>
        <w:tc>
          <w:tcPr>
            <w:tcW w:w="1276" w:type="dxa"/>
            <w:tcBorders>
              <w:top w:val="single" w:sz="4" w:space="0" w:color="auto"/>
              <w:left w:val="nil"/>
              <w:bottom w:val="single" w:sz="4" w:space="0" w:color="auto"/>
              <w:right w:val="nil"/>
            </w:tcBorders>
            <w:shd w:val="clear" w:color="auto" w:fill="auto"/>
            <w:vAlign w:val="bottom"/>
            <w:hideMark/>
          </w:tcPr>
          <w:p w:rsidR="007C45E1" w:rsidRPr="00CF225B" w:rsidRDefault="007C45E1" w:rsidP="00E01698">
            <w:pPr>
              <w:rPr>
                <w:rFonts w:eastAsia="Times New Roman" w:cs="Times New Roman"/>
                <w:color w:val="264A60"/>
                <w:sz w:val="20"/>
                <w:szCs w:val="20"/>
                <w:lang w:eastAsia="cs-CZ"/>
              </w:rPr>
            </w:pPr>
            <w:r w:rsidRPr="00CF225B">
              <w:rPr>
                <w:rFonts w:eastAsia="Times New Roman" w:cs="Times New Roman"/>
                <w:color w:val="264A60"/>
                <w:sz w:val="20"/>
                <w:szCs w:val="20"/>
                <w:lang w:eastAsia="cs-CZ"/>
              </w:rPr>
              <w:t>1 rok před úpadkem</w:t>
            </w:r>
          </w:p>
        </w:tc>
        <w:tc>
          <w:tcPr>
            <w:tcW w:w="1275" w:type="dxa"/>
            <w:tcBorders>
              <w:top w:val="single" w:sz="4" w:space="0" w:color="auto"/>
              <w:left w:val="nil"/>
              <w:bottom w:val="single" w:sz="4" w:space="0" w:color="auto"/>
              <w:right w:val="nil"/>
            </w:tcBorders>
            <w:shd w:val="clear" w:color="auto" w:fill="auto"/>
            <w:vAlign w:val="bottom"/>
            <w:hideMark/>
          </w:tcPr>
          <w:p w:rsidR="007C45E1" w:rsidRPr="00CF225B" w:rsidRDefault="007C45E1" w:rsidP="00E01698">
            <w:pPr>
              <w:rPr>
                <w:rFonts w:eastAsia="Times New Roman" w:cs="Times New Roman"/>
                <w:color w:val="264A60"/>
                <w:sz w:val="20"/>
                <w:szCs w:val="20"/>
                <w:lang w:eastAsia="cs-CZ"/>
              </w:rPr>
            </w:pPr>
            <w:r w:rsidRPr="00CF225B">
              <w:rPr>
                <w:rFonts w:eastAsia="Times New Roman" w:cs="Times New Roman"/>
                <w:color w:val="264A60"/>
                <w:sz w:val="20"/>
                <w:szCs w:val="20"/>
                <w:lang w:eastAsia="cs-CZ"/>
              </w:rPr>
              <w:t>2 roky před úpadkem</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rsidR="007C45E1" w:rsidRPr="00CF225B" w:rsidRDefault="007C45E1" w:rsidP="00E01698">
            <w:pPr>
              <w:rPr>
                <w:rFonts w:eastAsia="Times New Roman" w:cs="Times New Roman"/>
                <w:color w:val="264A60"/>
                <w:sz w:val="20"/>
                <w:szCs w:val="20"/>
                <w:lang w:eastAsia="cs-CZ"/>
              </w:rPr>
            </w:pPr>
            <w:r w:rsidRPr="00CF225B">
              <w:rPr>
                <w:rFonts w:eastAsia="Times New Roman" w:cs="Times New Roman"/>
                <w:color w:val="264A60"/>
                <w:sz w:val="20"/>
                <w:szCs w:val="20"/>
                <w:lang w:eastAsia="cs-CZ"/>
              </w:rPr>
              <w:t>3 roky před úpadkem</w:t>
            </w:r>
          </w:p>
        </w:tc>
      </w:tr>
      <w:tr w:rsidR="007C45E1" w:rsidRPr="00CF225B" w:rsidTr="006873B7">
        <w:trPr>
          <w:trHeight w:val="170"/>
        </w:trPr>
        <w:tc>
          <w:tcPr>
            <w:tcW w:w="3964" w:type="dxa"/>
            <w:tcBorders>
              <w:top w:val="nil"/>
              <w:left w:val="single" w:sz="4" w:space="0" w:color="auto"/>
              <w:bottom w:val="nil"/>
              <w:right w:val="nil"/>
            </w:tcBorders>
            <w:shd w:val="clear" w:color="auto" w:fill="auto"/>
            <w:noWrap/>
            <w:hideMark/>
          </w:tcPr>
          <w:p w:rsidR="007C45E1" w:rsidRPr="00CF225B" w:rsidRDefault="007C45E1" w:rsidP="00E01698">
            <w:pPr>
              <w:rPr>
                <w:rFonts w:eastAsia="Times New Roman" w:cs="Times New Roman"/>
                <w:color w:val="010205"/>
                <w:sz w:val="20"/>
                <w:szCs w:val="20"/>
                <w:lang w:eastAsia="cs-CZ"/>
              </w:rPr>
            </w:pPr>
            <w:r w:rsidRPr="00CF225B">
              <w:rPr>
                <w:rFonts w:eastAsia="Times New Roman" w:cs="Times New Roman"/>
                <w:color w:val="010205"/>
                <w:sz w:val="20"/>
                <w:szCs w:val="20"/>
                <w:lang w:eastAsia="cs-CZ"/>
              </w:rPr>
              <w:t>Kralickův Rychlý test</w:t>
            </w:r>
          </w:p>
        </w:tc>
        <w:tc>
          <w:tcPr>
            <w:tcW w:w="1418" w:type="dxa"/>
            <w:tcBorders>
              <w:top w:val="nil"/>
              <w:left w:val="nil"/>
              <w:bottom w:val="nil"/>
              <w:right w:val="nil"/>
            </w:tcBorders>
            <w:shd w:val="clear" w:color="auto" w:fill="auto"/>
            <w:noWrap/>
            <w:hideMark/>
          </w:tcPr>
          <w:p w:rsidR="007C45E1" w:rsidRPr="00CF225B" w:rsidRDefault="007C45E1" w:rsidP="00E01698">
            <w:pPr>
              <w:rPr>
                <w:rFonts w:eastAsia="Times New Roman" w:cs="Times New Roman"/>
                <w:color w:val="010205"/>
                <w:sz w:val="20"/>
                <w:szCs w:val="20"/>
                <w:lang w:eastAsia="cs-CZ"/>
              </w:rPr>
            </w:pPr>
            <w:r w:rsidRPr="00CF225B">
              <w:rPr>
                <w:rFonts w:eastAsia="Times New Roman" w:cs="Times New Roman"/>
                <w:color w:val="010205"/>
                <w:sz w:val="20"/>
                <w:szCs w:val="20"/>
                <w:lang w:eastAsia="cs-CZ"/>
              </w:rPr>
              <w:t>Mean</w:t>
            </w:r>
          </w:p>
        </w:tc>
        <w:tc>
          <w:tcPr>
            <w:tcW w:w="1276" w:type="dxa"/>
            <w:tcBorders>
              <w:top w:val="nil"/>
              <w:left w:val="nil"/>
              <w:bottom w:val="nil"/>
              <w:right w:val="nil"/>
            </w:tcBorders>
            <w:shd w:val="clear" w:color="auto" w:fill="auto"/>
            <w:noWrap/>
            <w:hideMark/>
          </w:tcPr>
          <w:p w:rsidR="007C45E1" w:rsidRPr="00CF225B" w:rsidRDefault="007C45E1" w:rsidP="00E01698">
            <w:pPr>
              <w:rPr>
                <w:rFonts w:eastAsia="Times New Roman" w:cs="Times New Roman"/>
                <w:color w:val="010205"/>
                <w:sz w:val="20"/>
                <w:szCs w:val="20"/>
                <w:lang w:eastAsia="cs-CZ"/>
              </w:rPr>
            </w:pPr>
            <w:r w:rsidRPr="00CF225B">
              <w:rPr>
                <w:rFonts w:eastAsia="Times New Roman" w:cs="Times New Roman"/>
                <w:color w:val="010205"/>
                <w:sz w:val="20"/>
                <w:szCs w:val="20"/>
                <w:lang w:eastAsia="cs-CZ"/>
              </w:rPr>
              <w:t>4,50</w:t>
            </w:r>
          </w:p>
        </w:tc>
        <w:tc>
          <w:tcPr>
            <w:tcW w:w="1275" w:type="dxa"/>
            <w:tcBorders>
              <w:top w:val="nil"/>
              <w:left w:val="nil"/>
              <w:bottom w:val="nil"/>
              <w:right w:val="nil"/>
            </w:tcBorders>
            <w:shd w:val="clear" w:color="auto" w:fill="auto"/>
            <w:noWrap/>
            <w:hideMark/>
          </w:tcPr>
          <w:p w:rsidR="007C45E1" w:rsidRPr="00CF225B" w:rsidRDefault="007C45E1" w:rsidP="00E01698">
            <w:pPr>
              <w:rPr>
                <w:rFonts w:eastAsia="Times New Roman" w:cs="Times New Roman"/>
                <w:color w:val="010205"/>
                <w:sz w:val="20"/>
                <w:szCs w:val="20"/>
                <w:lang w:eastAsia="cs-CZ"/>
              </w:rPr>
            </w:pPr>
            <w:r w:rsidRPr="00CF225B">
              <w:rPr>
                <w:rFonts w:eastAsia="Times New Roman" w:cs="Times New Roman"/>
                <w:color w:val="010205"/>
                <w:sz w:val="20"/>
                <w:szCs w:val="20"/>
                <w:lang w:eastAsia="cs-CZ"/>
              </w:rPr>
              <w:t>4,21</w:t>
            </w:r>
          </w:p>
        </w:tc>
        <w:tc>
          <w:tcPr>
            <w:tcW w:w="1139" w:type="dxa"/>
            <w:tcBorders>
              <w:top w:val="nil"/>
              <w:left w:val="nil"/>
              <w:bottom w:val="nil"/>
              <w:right w:val="single" w:sz="4" w:space="0" w:color="auto"/>
            </w:tcBorders>
            <w:shd w:val="clear" w:color="auto" w:fill="auto"/>
            <w:noWrap/>
            <w:hideMark/>
          </w:tcPr>
          <w:p w:rsidR="007C45E1" w:rsidRPr="00CF225B" w:rsidRDefault="007C45E1" w:rsidP="00E01698">
            <w:pPr>
              <w:rPr>
                <w:rFonts w:eastAsia="Times New Roman" w:cs="Times New Roman"/>
                <w:color w:val="010205"/>
                <w:sz w:val="20"/>
                <w:szCs w:val="20"/>
                <w:lang w:eastAsia="cs-CZ"/>
              </w:rPr>
            </w:pPr>
            <w:r w:rsidRPr="00CF225B">
              <w:rPr>
                <w:rFonts w:eastAsia="Times New Roman" w:cs="Times New Roman"/>
                <w:color w:val="010205"/>
                <w:sz w:val="20"/>
                <w:szCs w:val="20"/>
                <w:lang w:eastAsia="cs-CZ"/>
              </w:rPr>
              <w:t>4,01</w:t>
            </w:r>
          </w:p>
        </w:tc>
      </w:tr>
      <w:tr w:rsidR="007C45E1" w:rsidRPr="00CF225B" w:rsidTr="006873B7">
        <w:trPr>
          <w:trHeight w:val="170"/>
        </w:trPr>
        <w:tc>
          <w:tcPr>
            <w:tcW w:w="3964" w:type="dxa"/>
            <w:tcBorders>
              <w:top w:val="nil"/>
              <w:left w:val="single" w:sz="4" w:space="0" w:color="auto"/>
              <w:bottom w:val="nil"/>
              <w:right w:val="nil"/>
            </w:tcBorders>
            <w:shd w:val="clear" w:color="auto" w:fill="auto"/>
            <w:noWrap/>
            <w:vAlign w:val="bottom"/>
            <w:hideMark/>
          </w:tcPr>
          <w:p w:rsidR="007C45E1" w:rsidRPr="00CF225B" w:rsidRDefault="007C45E1" w:rsidP="00E01698">
            <w:pPr>
              <w:rPr>
                <w:rFonts w:eastAsia="Times New Roman" w:cs="Times New Roman"/>
                <w:color w:val="000000"/>
                <w:sz w:val="20"/>
                <w:szCs w:val="20"/>
                <w:lang w:eastAsia="cs-CZ"/>
              </w:rPr>
            </w:pPr>
            <w:r w:rsidRPr="00CF225B">
              <w:rPr>
                <w:rFonts w:eastAsia="Times New Roman" w:cs="Times New Roman"/>
                <w:color w:val="000000"/>
                <w:sz w:val="20"/>
                <w:szCs w:val="20"/>
                <w:lang w:eastAsia="cs-CZ"/>
              </w:rPr>
              <w:t> </w:t>
            </w:r>
          </w:p>
        </w:tc>
        <w:tc>
          <w:tcPr>
            <w:tcW w:w="1418" w:type="dxa"/>
            <w:tcBorders>
              <w:top w:val="single" w:sz="4" w:space="0" w:color="AEAEAE"/>
              <w:left w:val="nil"/>
              <w:bottom w:val="nil"/>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5% Trimmed Mean</w:t>
            </w:r>
          </w:p>
        </w:tc>
        <w:tc>
          <w:tcPr>
            <w:tcW w:w="1276" w:type="dxa"/>
            <w:tcBorders>
              <w:top w:val="single" w:sz="4" w:space="0" w:color="AEAEAE"/>
              <w:left w:val="nil"/>
              <w:bottom w:val="nil"/>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4,61</w:t>
            </w:r>
          </w:p>
        </w:tc>
        <w:tc>
          <w:tcPr>
            <w:tcW w:w="1275" w:type="dxa"/>
            <w:tcBorders>
              <w:top w:val="single" w:sz="4" w:space="0" w:color="AEAEAE"/>
              <w:left w:val="nil"/>
              <w:bottom w:val="nil"/>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4,31</w:t>
            </w:r>
          </w:p>
        </w:tc>
        <w:tc>
          <w:tcPr>
            <w:tcW w:w="1139" w:type="dxa"/>
            <w:tcBorders>
              <w:top w:val="single" w:sz="4" w:space="0" w:color="AEAEAE"/>
              <w:left w:val="nil"/>
              <w:bottom w:val="nil"/>
              <w:right w:val="single" w:sz="4" w:space="0" w:color="auto"/>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4,10</w:t>
            </w:r>
          </w:p>
        </w:tc>
      </w:tr>
      <w:tr w:rsidR="007C45E1" w:rsidRPr="00CF225B" w:rsidTr="006873B7">
        <w:trPr>
          <w:trHeight w:val="170"/>
        </w:trPr>
        <w:tc>
          <w:tcPr>
            <w:tcW w:w="3964" w:type="dxa"/>
            <w:tcBorders>
              <w:top w:val="nil"/>
              <w:left w:val="single" w:sz="4" w:space="0" w:color="auto"/>
              <w:bottom w:val="single" w:sz="4" w:space="0" w:color="auto"/>
              <w:right w:val="nil"/>
            </w:tcBorders>
            <w:shd w:val="clear" w:color="auto" w:fill="auto"/>
            <w:noWrap/>
            <w:vAlign w:val="bottom"/>
            <w:hideMark/>
          </w:tcPr>
          <w:p w:rsidR="007C45E1" w:rsidRPr="00CF225B" w:rsidRDefault="007C45E1" w:rsidP="00E01698">
            <w:pPr>
              <w:rPr>
                <w:rFonts w:eastAsia="Times New Roman" w:cs="Times New Roman"/>
                <w:color w:val="000000"/>
                <w:sz w:val="20"/>
                <w:szCs w:val="20"/>
                <w:lang w:eastAsia="cs-CZ"/>
              </w:rPr>
            </w:pPr>
            <w:r w:rsidRPr="00CF225B">
              <w:rPr>
                <w:rFonts w:eastAsia="Times New Roman" w:cs="Times New Roman"/>
                <w:color w:val="000000"/>
                <w:sz w:val="20"/>
                <w:szCs w:val="20"/>
                <w:lang w:eastAsia="cs-CZ"/>
              </w:rPr>
              <w:t> </w:t>
            </w:r>
          </w:p>
        </w:tc>
        <w:tc>
          <w:tcPr>
            <w:tcW w:w="1418" w:type="dxa"/>
            <w:tcBorders>
              <w:top w:val="single" w:sz="4" w:space="0" w:color="AEAEAE"/>
              <w:left w:val="nil"/>
              <w:bottom w:val="single" w:sz="4" w:space="0" w:color="auto"/>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Median</w:t>
            </w:r>
          </w:p>
        </w:tc>
        <w:tc>
          <w:tcPr>
            <w:tcW w:w="1276" w:type="dxa"/>
            <w:tcBorders>
              <w:top w:val="single" w:sz="4" w:space="0" w:color="AEAEAE"/>
              <w:left w:val="nil"/>
              <w:bottom w:val="single" w:sz="4" w:space="0" w:color="auto"/>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5,00</w:t>
            </w:r>
          </w:p>
        </w:tc>
        <w:tc>
          <w:tcPr>
            <w:tcW w:w="1275" w:type="dxa"/>
            <w:tcBorders>
              <w:top w:val="single" w:sz="4" w:space="0" w:color="AEAEAE"/>
              <w:left w:val="nil"/>
              <w:bottom w:val="single" w:sz="4" w:space="0" w:color="auto"/>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4,50</w:t>
            </w:r>
          </w:p>
        </w:tc>
        <w:tc>
          <w:tcPr>
            <w:tcW w:w="1139" w:type="dxa"/>
            <w:tcBorders>
              <w:top w:val="single" w:sz="4" w:space="0" w:color="AEAEAE"/>
              <w:left w:val="nil"/>
              <w:bottom w:val="single" w:sz="4" w:space="0" w:color="auto"/>
              <w:right w:val="single" w:sz="4" w:space="0" w:color="auto"/>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4,25</w:t>
            </w:r>
          </w:p>
        </w:tc>
      </w:tr>
      <w:tr w:rsidR="007C45E1" w:rsidRPr="00CF225B" w:rsidTr="006873B7">
        <w:trPr>
          <w:trHeight w:val="170"/>
        </w:trPr>
        <w:tc>
          <w:tcPr>
            <w:tcW w:w="3964" w:type="dxa"/>
            <w:tcBorders>
              <w:top w:val="single" w:sz="4" w:space="0" w:color="auto"/>
              <w:left w:val="single" w:sz="4" w:space="0" w:color="auto"/>
              <w:bottom w:val="nil"/>
              <w:right w:val="nil"/>
            </w:tcBorders>
            <w:shd w:val="clear" w:color="auto" w:fill="auto"/>
            <w:noWrap/>
            <w:hideMark/>
          </w:tcPr>
          <w:p w:rsidR="007C45E1" w:rsidRPr="00CF225B" w:rsidRDefault="007C45E1" w:rsidP="00E01698">
            <w:pPr>
              <w:rPr>
                <w:rFonts w:eastAsia="Times New Roman" w:cs="Times New Roman"/>
                <w:color w:val="010205"/>
                <w:sz w:val="20"/>
                <w:szCs w:val="20"/>
                <w:lang w:eastAsia="cs-CZ"/>
              </w:rPr>
            </w:pPr>
            <w:r w:rsidRPr="00CF225B">
              <w:rPr>
                <w:rFonts w:eastAsia="Times New Roman" w:cs="Times New Roman"/>
                <w:color w:val="010205"/>
                <w:sz w:val="20"/>
                <w:szCs w:val="20"/>
                <w:lang w:eastAsia="cs-CZ"/>
              </w:rPr>
              <w:t>Altmanovo Z-skóre</w:t>
            </w:r>
          </w:p>
        </w:tc>
        <w:tc>
          <w:tcPr>
            <w:tcW w:w="1418" w:type="dxa"/>
            <w:tcBorders>
              <w:top w:val="single" w:sz="4" w:space="0" w:color="auto"/>
              <w:left w:val="nil"/>
              <w:bottom w:val="nil"/>
              <w:right w:val="nil"/>
            </w:tcBorders>
            <w:shd w:val="clear" w:color="auto" w:fill="auto"/>
            <w:noWrap/>
            <w:hideMark/>
          </w:tcPr>
          <w:p w:rsidR="007C45E1" w:rsidRPr="00CF225B" w:rsidRDefault="007C45E1" w:rsidP="00E01698">
            <w:pPr>
              <w:rPr>
                <w:rFonts w:eastAsia="Times New Roman" w:cs="Times New Roman"/>
                <w:color w:val="010205"/>
                <w:sz w:val="20"/>
                <w:szCs w:val="20"/>
                <w:lang w:eastAsia="cs-CZ"/>
              </w:rPr>
            </w:pPr>
            <w:r w:rsidRPr="00CF225B">
              <w:rPr>
                <w:rFonts w:eastAsia="Times New Roman" w:cs="Times New Roman"/>
                <w:color w:val="010205"/>
                <w:sz w:val="20"/>
                <w:szCs w:val="20"/>
                <w:lang w:eastAsia="cs-CZ"/>
              </w:rPr>
              <w:t>Mean</w:t>
            </w:r>
          </w:p>
        </w:tc>
        <w:tc>
          <w:tcPr>
            <w:tcW w:w="1276" w:type="dxa"/>
            <w:tcBorders>
              <w:top w:val="single" w:sz="4" w:space="0" w:color="auto"/>
              <w:left w:val="nil"/>
              <w:bottom w:val="nil"/>
              <w:right w:val="nil"/>
            </w:tcBorders>
            <w:shd w:val="clear" w:color="auto" w:fill="auto"/>
            <w:noWrap/>
            <w:hideMark/>
          </w:tcPr>
          <w:p w:rsidR="007C45E1" w:rsidRPr="00CF225B" w:rsidRDefault="007C45E1" w:rsidP="00E01698">
            <w:pPr>
              <w:rPr>
                <w:rFonts w:eastAsia="Times New Roman" w:cs="Times New Roman"/>
                <w:color w:val="010205"/>
                <w:sz w:val="20"/>
                <w:szCs w:val="20"/>
                <w:lang w:eastAsia="cs-CZ"/>
              </w:rPr>
            </w:pPr>
            <w:r w:rsidRPr="00CF225B">
              <w:rPr>
                <w:rFonts w:eastAsia="Times New Roman" w:cs="Times New Roman"/>
                <w:color w:val="010205"/>
                <w:sz w:val="20"/>
                <w:szCs w:val="20"/>
                <w:lang w:eastAsia="cs-CZ"/>
              </w:rPr>
              <w:t>-74,40</w:t>
            </w:r>
          </w:p>
        </w:tc>
        <w:tc>
          <w:tcPr>
            <w:tcW w:w="1275" w:type="dxa"/>
            <w:tcBorders>
              <w:top w:val="single" w:sz="4" w:space="0" w:color="auto"/>
              <w:left w:val="nil"/>
              <w:bottom w:val="nil"/>
              <w:right w:val="nil"/>
            </w:tcBorders>
            <w:shd w:val="clear" w:color="auto" w:fill="auto"/>
            <w:noWrap/>
            <w:hideMark/>
          </w:tcPr>
          <w:p w:rsidR="007C45E1" w:rsidRPr="00CF225B" w:rsidRDefault="007C45E1" w:rsidP="00E01698">
            <w:pPr>
              <w:rPr>
                <w:rFonts w:eastAsia="Times New Roman" w:cs="Times New Roman"/>
                <w:color w:val="010205"/>
                <w:sz w:val="20"/>
                <w:szCs w:val="20"/>
                <w:lang w:eastAsia="cs-CZ"/>
              </w:rPr>
            </w:pPr>
            <w:r w:rsidRPr="00CF225B">
              <w:rPr>
                <w:rFonts w:eastAsia="Times New Roman" w:cs="Times New Roman"/>
                <w:color w:val="010205"/>
                <w:sz w:val="20"/>
                <w:szCs w:val="20"/>
                <w:lang w:eastAsia="cs-CZ"/>
              </w:rPr>
              <w:t>-20,61</w:t>
            </w:r>
          </w:p>
        </w:tc>
        <w:tc>
          <w:tcPr>
            <w:tcW w:w="1139" w:type="dxa"/>
            <w:tcBorders>
              <w:top w:val="single" w:sz="4" w:space="0" w:color="auto"/>
              <w:left w:val="nil"/>
              <w:bottom w:val="nil"/>
              <w:right w:val="single" w:sz="4" w:space="0" w:color="auto"/>
            </w:tcBorders>
            <w:shd w:val="clear" w:color="auto" w:fill="auto"/>
            <w:noWrap/>
            <w:hideMark/>
          </w:tcPr>
          <w:p w:rsidR="007C45E1" w:rsidRPr="00CF225B" w:rsidRDefault="007C45E1" w:rsidP="00E01698">
            <w:pPr>
              <w:rPr>
                <w:rFonts w:eastAsia="Times New Roman" w:cs="Times New Roman"/>
                <w:color w:val="010205"/>
                <w:sz w:val="20"/>
                <w:szCs w:val="20"/>
                <w:lang w:eastAsia="cs-CZ"/>
              </w:rPr>
            </w:pPr>
            <w:r w:rsidRPr="00CF225B">
              <w:rPr>
                <w:rFonts w:eastAsia="Times New Roman" w:cs="Times New Roman"/>
                <w:color w:val="010205"/>
                <w:sz w:val="20"/>
                <w:szCs w:val="20"/>
                <w:lang w:eastAsia="cs-CZ"/>
              </w:rPr>
              <w:t>0,63</w:t>
            </w:r>
          </w:p>
        </w:tc>
      </w:tr>
      <w:tr w:rsidR="007C45E1" w:rsidRPr="00CF225B" w:rsidTr="006873B7">
        <w:trPr>
          <w:trHeight w:val="170"/>
        </w:trPr>
        <w:tc>
          <w:tcPr>
            <w:tcW w:w="3964" w:type="dxa"/>
            <w:tcBorders>
              <w:top w:val="nil"/>
              <w:left w:val="single" w:sz="4" w:space="0" w:color="auto"/>
              <w:bottom w:val="nil"/>
              <w:right w:val="nil"/>
            </w:tcBorders>
            <w:shd w:val="clear" w:color="auto" w:fill="auto"/>
            <w:noWrap/>
            <w:vAlign w:val="bottom"/>
            <w:hideMark/>
          </w:tcPr>
          <w:p w:rsidR="007C45E1" w:rsidRPr="00CF225B" w:rsidRDefault="007C45E1" w:rsidP="00E01698">
            <w:pPr>
              <w:rPr>
                <w:rFonts w:eastAsia="Times New Roman" w:cs="Times New Roman"/>
                <w:color w:val="000000"/>
                <w:sz w:val="20"/>
                <w:szCs w:val="20"/>
                <w:lang w:eastAsia="cs-CZ"/>
              </w:rPr>
            </w:pPr>
            <w:r w:rsidRPr="00CF225B">
              <w:rPr>
                <w:rFonts w:eastAsia="Times New Roman" w:cs="Times New Roman"/>
                <w:color w:val="000000"/>
                <w:sz w:val="20"/>
                <w:szCs w:val="20"/>
                <w:lang w:eastAsia="cs-CZ"/>
              </w:rPr>
              <w:t> </w:t>
            </w:r>
          </w:p>
        </w:tc>
        <w:tc>
          <w:tcPr>
            <w:tcW w:w="1418" w:type="dxa"/>
            <w:tcBorders>
              <w:top w:val="single" w:sz="4" w:space="0" w:color="AEAEAE"/>
              <w:left w:val="nil"/>
              <w:bottom w:val="nil"/>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5% Trimmed Mean</w:t>
            </w:r>
          </w:p>
        </w:tc>
        <w:tc>
          <w:tcPr>
            <w:tcW w:w="1276" w:type="dxa"/>
            <w:tcBorders>
              <w:top w:val="single" w:sz="4" w:space="0" w:color="AEAEAE"/>
              <w:left w:val="nil"/>
              <w:bottom w:val="nil"/>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-1,78</w:t>
            </w:r>
          </w:p>
        </w:tc>
        <w:tc>
          <w:tcPr>
            <w:tcW w:w="1275" w:type="dxa"/>
            <w:tcBorders>
              <w:top w:val="single" w:sz="4" w:space="0" w:color="AEAEAE"/>
              <w:left w:val="nil"/>
              <w:bottom w:val="nil"/>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1,01</w:t>
            </w:r>
          </w:p>
        </w:tc>
        <w:tc>
          <w:tcPr>
            <w:tcW w:w="1139" w:type="dxa"/>
            <w:tcBorders>
              <w:top w:val="single" w:sz="4" w:space="0" w:color="AEAEAE"/>
              <w:left w:val="nil"/>
              <w:bottom w:val="nil"/>
              <w:right w:val="single" w:sz="4" w:space="0" w:color="auto"/>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1,63</w:t>
            </w:r>
          </w:p>
        </w:tc>
      </w:tr>
      <w:tr w:rsidR="007C45E1" w:rsidRPr="00CF225B" w:rsidTr="006873B7">
        <w:trPr>
          <w:trHeight w:val="170"/>
        </w:trPr>
        <w:tc>
          <w:tcPr>
            <w:tcW w:w="3964" w:type="dxa"/>
            <w:tcBorders>
              <w:top w:val="nil"/>
              <w:left w:val="single" w:sz="4" w:space="0" w:color="auto"/>
              <w:bottom w:val="single" w:sz="4" w:space="0" w:color="auto"/>
              <w:right w:val="nil"/>
            </w:tcBorders>
            <w:shd w:val="clear" w:color="auto" w:fill="auto"/>
            <w:noWrap/>
            <w:vAlign w:val="bottom"/>
            <w:hideMark/>
          </w:tcPr>
          <w:p w:rsidR="007C45E1" w:rsidRPr="00CF225B" w:rsidRDefault="007C45E1" w:rsidP="00E01698">
            <w:pPr>
              <w:rPr>
                <w:rFonts w:eastAsia="Times New Roman" w:cs="Times New Roman"/>
                <w:color w:val="000000"/>
                <w:sz w:val="20"/>
                <w:szCs w:val="20"/>
                <w:lang w:eastAsia="cs-CZ"/>
              </w:rPr>
            </w:pPr>
            <w:r w:rsidRPr="00CF225B">
              <w:rPr>
                <w:rFonts w:eastAsia="Times New Roman" w:cs="Times New Roman"/>
                <w:color w:val="000000"/>
                <w:sz w:val="20"/>
                <w:szCs w:val="20"/>
                <w:lang w:eastAsia="cs-CZ"/>
              </w:rPr>
              <w:t> </w:t>
            </w:r>
          </w:p>
        </w:tc>
        <w:tc>
          <w:tcPr>
            <w:tcW w:w="1418" w:type="dxa"/>
            <w:tcBorders>
              <w:top w:val="single" w:sz="4" w:space="0" w:color="AEAEAE"/>
              <w:left w:val="nil"/>
              <w:bottom w:val="single" w:sz="4" w:space="0" w:color="auto"/>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Median</w:t>
            </w:r>
          </w:p>
        </w:tc>
        <w:tc>
          <w:tcPr>
            <w:tcW w:w="1276" w:type="dxa"/>
            <w:tcBorders>
              <w:top w:val="single" w:sz="4" w:space="0" w:color="AEAEAE"/>
              <w:left w:val="nil"/>
              <w:bottom w:val="single" w:sz="4" w:space="0" w:color="auto"/>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-0,05</w:t>
            </w:r>
          </w:p>
        </w:tc>
        <w:tc>
          <w:tcPr>
            <w:tcW w:w="1275" w:type="dxa"/>
            <w:tcBorders>
              <w:top w:val="single" w:sz="4" w:space="0" w:color="AEAEAE"/>
              <w:left w:val="nil"/>
              <w:bottom w:val="single" w:sz="4" w:space="0" w:color="auto"/>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1,07</w:t>
            </w:r>
          </w:p>
        </w:tc>
        <w:tc>
          <w:tcPr>
            <w:tcW w:w="1139" w:type="dxa"/>
            <w:tcBorders>
              <w:top w:val="single" w:sz="4" w:space="0" w:color="AEAEAE"/>
              <w:left w:val="nil"/>
              <w:bottom w:val="single" w:sz="4" w:space="0" w:color="auto"/>
              <w:right w:val="single" w:sz="4" w:space="0" w:color="auto"/>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1,56</w:t>
            </w:r>
          </w:p>
        </w:tc>
      </w:tr>
      <w:tr w:rsidR="007C45E1" w:rsidRPr="00CF225B" w:rsidTr="006873B7">
        <w:trPr>
          <w:trHeight w:val="170"/>
        </w:trPr>
        <w:tc>
          <w:tcPr>
            <w:tcW w:w="3964" w:type="dxa"/>
            <w:tcBorders>
              <w:top w:val="single" w:sz="4" w:space="0" w:color="auto"/>
              <w:left w:val="single" w:sz="4" w:space="0" w:color="auto"/>
              <w:bottom w:val="nil"/>
              <w:right w:val="nil"/>
            </w:tcBorders>
            <w:shd w:val="clear" w:color="auto" w:fill="auto"/>
            <w:noWrap/>
            <w:hideMark/>
          </w:tcPr>
          <w:p w:rsidR="007C45E1" w:rsidRPr="00CF225B" w:rsidRDefault="007C45E1" w:rsidP="00E01698">
            <w:pPr>
              <w:rPr>
                <w:rFonts w:eastAsia="Times New Roman" w:cs="Times New Roman"/>
                <w:color w:val="010205"/>
                <w:sz w:val="20"/>
                <w:szCs w:val="20"/>
                <w:lang w:eastAsia="cs-CZ"/>
              </w:rPr>
            </w:pPr>
            <w:r w:rsidRPr="00CF225B">
              <w:rPr>
                <w:rFonts w:eastAsia="Times New Roman" w:cs="Times New Roman"/>
                <w:color w:val="010205"/>
                <w:sz w:val="20"/>
                <w:szCs w:val="20"/>
                <w:lang w:eastAsia="cs-CZ"/>
              </w:rPr>
              <w:t>Index IN05</w:t>
            </w:r>
          </w:p>
        </w:tc>
        <w:tc>
          <w:tcPr>
            <w:tcW w:w="1418" w:type="dxa"/>
            <w:tcBorders>
              <w:top w:val="single" w:sz="4" w:space="0" w:color="auto"/>
              <w:left w:val="nil"/>
              <w:bottom w:val="nil"/>
              <w:right w:val="nil"/>
            </w:tcBorders>
            <w:shd w:val="clear" w:color="auto" w:fill="auto"/>
            <w:noWrap/>
            <w:hideMark/>
          </w:tcPr>
          <w:p w:rsidR="007C45E1" w:rsidRPr="00CF225B" w:rsidRDefault="007C45E1" w:rsidP="00E01698">
            <w:pPr>
              <w:rPr>
                <w:rFonts w:eastAsia="Times New Roman" w:cs="Times New Roman"/>
                <w:color w:val="010205"/>
                <w:sz w:val="20"/>
                <w:szCs w:val="20"/>
                <w:lang w:eastAsia="cs-CZ"/>
              </w:rPr>
            </w:pPr>
            <w:r w:rsidRPr="00CF225B">
              <w:rPr>
                <w:rFonts w:eastAsia="Times New Roman" w:cs="Times New Roman"/>
                <w:color w:val="010205"/>
                <w:sz w:val="20"/>
                <w:szCs w:val="20"/>
                <w:lang w:eastAsia="cs-CZ"/>
              </w:rPr>
              <w:t>Mean</w:t>
            </w:r>
          </w:p>
        </w:tc>
        <w:tc>
          <w:tcPr>
            <w:tcW w:w="1276" w:type="dxa"/>
            <w:tcBorders>
              <w:top w:val="single" w:sz="4" w:space="0" w:color="auto"/>
              <w:left w:val="nil"/>
              <w:bottom w:val="nil"/>
              <w:right w:val="nil"/>
            </w:tcBorders>
            <w:shd w:val="clear" w:color="auto" w:fill="auto"/>
            <w:noWrap/>
            <w:hideMark/>
          </w:tcPr>
          <w:p w:rsidR="007C45E1" w:rsidRPr="00CF225B" w:rsidRDefault="007C45E1" w:rsidP="00E01698">
            <w:pPr>
              <w:rPr>
                <w:rFonts w:eastAsia="Times New Roman" w:cs="Times New Roman"/>
                <w:color w:val="010205"/>
                <w:sz w:val="20"/>
                <w:szCs w:val="20"/>
                <w:lang w:eastAsia="cs-CZ"/>
              </w:rPr>
            </w:pPr>
            <w:r w:rsidRPr="00CF225B">
              <w:rPr>
                <w:rFonts w:eastAsia="Times New Roman" w:cs="Times New Roman"/>
                <w:color w:val="010205"/>
                <w:sz w:val="20"/>
                <w:szCs w:val="20"/>
                <w:lang w:eastAsia="cs-CZ"/>
              </w:rPr>
              <w:t>-14,91</w:t>
            </w:r>
          </w:p>
        </w:tc>
        <w:tc>
          <w:tcPr>
            <w:tcW w:w="1275" w:type="dxa"/>
            <w:tcBorders>
              <w:top w:val="single" w:sz="4" w:space="0" w:color="auto"/>
              <w:left w:val="nil"/>
              <w:bottom w:val="nil"/>
              <w:right w:val="nil"/>
            </w:tcBorders>
            <w:shd w:val="clear" w:color="auto" w:fill="auto"/>
            <w:noWrap/>
            <w:hideMark/>
          </w:tcPr>
          <w:p w:rsidR="007C45E1" w:rsidRPr="00CF225B" w:rsidRDefault="007C45E1" w:rsidP="00E01698">
            <w:pPr>
              <w:rPr>
                <w:rFonts w:eastAsia="Times New Roman" w:cs="Times New Roman"/>
                <w:color w:val="010205"/>
                <w:sz w:val="20"/>
                <w:szCs w:val="20"/>
                <w:lang w:eastAsia="cs-CZ"/>
              </w:rPr>
            </w:pPr>
            <w:r w:rsidRPr="00CF225B">
              <w:rPr>
                <w:rFonts w:eastAsia="Times New Roman" w:cs="Times New Roman"/>
                <w:color w:val="010205"/>
                <w:sz w:val="20"/>
                <w:szCs w:val="20"/>
                <w:lang w:eastAsia="cs-CZ"/>
              </w:rPr>
              <w:t>-0,24</w:t>
            </w:r>
          </w:p>
        </w:tc>
        <w:tc>
          <w:tcPr>
            <w:tcW w:w="1139" w:type="dxa"/>
            <w:tcBorders>
              <w:top w:val="single" w:sz="4" w:space="0" w:color="auto"/>
              <w:left w:val="nil"/>
              <w:bottom w:val="nil"/>
              <w:right w:val="single" w:sz="4" w:space="0" w:color="auto"/>
            </w:tcBorders>
            <w:shd w:val="clear" w:color="auto" w:fill="auto"/>
            <w:noWrap/>
            <w:hideMark/>
          </w:tcPr>
          <w:p w:rsidR="007C45E1" w:rsidRPr="00CF225B" w:rsidRDefault="007C45E1" w:rsidP="00E01698">
            <w:pPr>
              <w:rPr>
                <w:rFonts w:eastAsia="Times New Roman" w:cs="Times New Roman"/>
                <w:color w:val="010205"/>
                <w:sz w:val="20"/>
                <w:szCs w:val="20"/>
                <w:lang w:eastAsia="cs-CZ"/>
              </w:rPr>
            </w:pPr>
            <w:r w:rsidRPr="00CF225B">
              <w:rPr>
                <w:rFonts w:eastAsia="Times New Roman" w:cs="Times New Roman"/>
                <w:color w:val="010205"/>
                <w:sz w:val="20"/>
                <w:szCs w:val="20"/>
                <w:lang w:eastAsia="cs-CZ"/>
              </w:rPr>
              <w:t>-1,64</w:t>
            </w:r>
          </w:p>
        </w:tc>
      </w:tr>
      <w:tr w:rsidR="007C45E1" w:rsidRPr="00CF225B" w:rsidTr="006873B7">
        <w:trPr>
          <w:trHeight w:val="170"/>
        </w:trPr>
        <w:tc>
          <w:tcPr>
            <w:tcW w:w="3964" w:type="dxa"/>
            <w:tcBorders>
              <w:top w:val="nil"/>
              <w:left w:val="single" w:sz="4" w:space="0" w:color="auto"/>
              <w:bottom w:val="nil"/>
              <w:right w:val="nil"/>
            </w:tcBorders>
            <w:shd w:val="clear" w:color="auto" w:fill="auto"/>
            <w:noWrap/>
            <w:vAlign w:val="bottom"/>
            <w:hideMark/>
          </w:tcPr>
          <w:p w:rsidR="007C45E1" w:rsidRPr="00CF225B" w:rsidRDefault="007C45E1" w:rsidP="00E01698">
            <w:pPr>
              <w:rPr>
                <w:rFonts w:eastAsia="Times New Roman" w:cs="Times New Roman"/>
                <w:color w:val="000000"/>
                <w:sz w:val="20"/>
                <w:szCs w:val="20"/>
                <w:lang w:eastAsia="cs-CZ"/>
              </w:rPr>
            </w:pPr>
            <w:r w:rsidRPr="00CF225B">
              <w:rPr>
                <w:rFonts w:eastAsia="Times New Roman" w:cs="Times New Roman"/>
                <w:color w:val="000000"/>
                <w:sz w:val="20"/>
                <w:szCs w:val="20"/>
                <w:lang w:eastAsia="cs-CZ"/>
              </w:rPr>
              <w:t> </w:t>
            </w:r>
          </w:p>
        </w:tc>
        <w:tc>
          <w:tcPr>
            <w:tcW w:w="1418" w:type="dxa"/>
            <w:tcBorders>
              <w:top w:val="single" w:sz="4" w:space="0" w:color="AEAEAE"/>
              <w:left w:val="nil"/>
              <w:bottom w:val="nil"/>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5% Trimmed Mean</w:t>
            </w:r>
          </w:p>
        </w:tc>
        <w:tc>
          <w:tcPr>
            <w:tcW w:w="1276" w:type="dxa"/>
            <w:tcBorders>
              <w:top w:val="single" w:sz="4" w:space="0" w:color="AEAEAE"/>
              <w:left w:val="nil"/>
              <w:bottom w:val="nil"/>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-1,48</w:t>
            </w:r>
          </w:p>
        </w:tc>
        <w:tc>
          <w:tcPr>
            <w:tcW w:w="1275" w:type="dxa"/>
            <w:tcBorders>
              <w:top w:val="single" w:sz="4" w:space="0" w:color="AEAEAE"/>
              <w:left w:val="nil"/>
              <w:bottom w:val="nil"/>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0,15</w:t>
            </w:r>
          </w:p>
        </w:tc>
        <w:tc>
          <w:tcPr>
            <w:tcW w:w="1139" w:type="dxa"/>
            <w:tcBorders>
              <w:top w:val="single" w:sz="4" w:space="0" w:color="AEAEAE"/>
              <w:left w:val="nil"/>
              <w:bottom w:val="nil"/>
              <w:right w:val="single" w:sz="4" w:space="0" w:color="auto"/>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0,46</w:t>
            </w:r>
          </w:p>
        </w:tc>
      </w:tr>
      <w:tr w:rsidR="007C45E1" w:rsidRPr="00CF225B" w:rsidTr="006873B7">
        <w:trPr>
          <w:trHeight w:val="170"/>
        </w:trPr>
        <w:tc>
          <w:tcPr>
            <w:tcW w:w="3964" w:type="dxa"/>
            <w:tcBorders>
              <w:top w:val="nil"/>
              <w:left w:val="single" w:sz="4" w:space="0" w:color="auto"/>
              <w:bottom w:val="single" w:sz="4" w:space="0" w:color="auto"/>
              <w:right w:val="nil"/>
            </w:tcBorders>
            <w:shd w:val="clear" w:color="auto" w:fill="auto"/>
            <w:noWrap/>
            <w:vAlign w:val="bottom"/>
            <w:hideMark/>
          </w:tcPr>
          <w:p w:rsidR="007C45E1" w:rsidRPr="00CF225B" w:rsidRDefault="007C45E1" w:rsidP="00E01698">
            <w:pPr>
              <w:rPr>
                <w:rFonts w:eastAsia="Times New Roman" w:cs="Times New Roman"/>
                <w:color w:val="000000"/>
                <w:sz w:val="20"/>
                <w:szCs w:val="20"/>
                <w:lang w:eastAsia="cs-CZ"/>
              </w:rPr>
            </w:pPr>
            <w:r w:rsidRPr="00CF225B">
              <w:rPr>
                <w:rFonts w:eastAsia="Times New Roman" w:cs="Times New Roman"/>
                <w:color w:val="000000"/>
                <w:sz w:val="20"/>
                <w:szCs w:val="20"/>
                <w:lang w:eastAsia="cs-CZ"/>
              </w:rPr>
              <w:t> </w:t>
            </w:r>
          </w:p>
        </w:tc>
        <w:tc>
          <w:tcPr>
            <w:tcW w:w="1418" w:type="dxa"/>
            <w:tcBorders>
              <w:top w:val="single" w:sz="4" w:space="0" w:color="AEAEAE"/>
              <w:left w:val="nil"/>
              <w:bottom w:val="single" w:sz="4" w:space="0" w:color="auto"/>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Median</w:t>
            </w:r>
          </w:p>
        </w:tc>
        <w:tc>
          <w:tcPr>
            <w:tcW w:w="1276" w:type="dxa"/>
            <w:tcBorders>
              <w:top w:val="single" w:sz="4" w:space="0" w:color="AEAEAE"/>
              <w:left w:val="nil"/>
              <w:bottom w:val="single" w:sz="4" w:space="0" w:color="auto"/>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-0,38</w:t>
            </w:r>
          </w:p>
        </w:tc>
        <w:tc>
          <w:tcPr>
            <w:tcW w:w="1275" w:type="dxa"/>
            <w:tcBorders>
              <w:top w:val="single" w:sz="4" w:space="0" w:color="AEAEAE"/>
              <w:left w:val="nil"/>
              <w:bottom w:val="single" w:sz="4" w:space="0" w:color="auto"/>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0,33</w:t>
            </w:r>
          </w:p>
        </w:tc>
        <w:tc>
          <w:tcPr>
            <w:tcW w:w="1139" w:type="dxa"/>
            <w:tcBorders>
              <w:top w:val="single" w:sz="4" w:space="0" w:color="AEAEAE"/>
              <w:left w:val="nil"/>
              <w:bottom w:val="single" w:sz="4" w:space="0" w:color="auto"/>
              <w:right w:val="single" w:sz="4" w:space="0" w:color="auto"/>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0,62</w:t>
            </w:r>
          </w:p>
        </w:tc>
      </w:tr>
      <w:tr w:rsidR="007C45E1" w:rsidRPr="00CF225B" w:rsidTr="006873B7">
        <w:trPr>
          <w:trHeight w:val="170"/>
        </w:trPr>
        <w:tc>
          <w:tcPr>
            <w:tcW w:w="3964" w:type="dxa"/>
            <w:tcBorders>
              <w:top w:val="single" w:sz="4" w:space="0" w:color="auto"/>
              <w:left w:val="single" w:sz="4" w:space="0" w:color="auto"/>
              <w:bottom w:val="nil"/>
              <w:right w:val="nil"/>
            </w:tcBorders>
            <w:shd w:val="clear" w:color="auto" w:fill="auto"/>
            <w:noWrap/>
            <w:hideMark/>
          </w:tcPr>
          <w:p w:rsidR="007C45E1" w:rsidRPr="00CF225B" w:rsidRDefault="007C45E1" w:rsidP="00E01698">
            <w:pPr>
              <w:rPr>
                <w:rFonts w:eastAsia="Times New Roman" w:cs="Times New Roman"/>
                <w:color w:val="010205"/>
                <w:sz w:val="20"/>
                <w:szCs w:val="20"/>
                <w:lang w:eastAsia="cs-CZ"/>
              </w:rPr>
            </w:pPr>
            <w:r w:rsidRPr="00CF225B">
              <w:rPr>
                <w:rFonts w:eastAsia="Times New Roman" w:cs="Times New Roman"/>
                <w:color w:val="010205"/>
                <w:sz w:val="20"/>
                <w:szCs w:val="20"/>
                <w:lang w:eastAsia="cs-CZ"/>
              </w:rPr>
              <w:t>Index IN99</w:t>
            </w:r>
          </w:p>
        </w:tc>
        <w:tc>
          <w:tcPr>
            <w:tcW w:w="1418" w:type="dxa"/>
            <w:tcBorders>
              <w:top w:val="single" w:sz="4" w:space="0" w:color="auto"/>
              <w:left w:val="nil"/>
              <w:bottom w:val="nil"/>
              <w:right w:val="nil"/>
            </w:tcBorders>
            <w:shd w:val="clear" w:color="auto" w:fill="auto"/>
            <w:noWrap/>
            <w:hideMark/>
          </w:tcPr>
          <w:p w:rsidR="007C45E1" w:rsidRPr="00CF225B" w:rsidRDefault="007C45E1" w:rsidP="00E01698">
            <w:pPr>
              <w:rPr>
                <w:rFonts w:eastAsia="Times New Roman" w:cs="Times New Roman"/>
                <w:color w:val="010205"/>
                <w:sz w:val="20"/>
                <w:szCs w:val="20"/>
                <w:lang w:eastAsia="cs-CZ"/>
              </w:rPr>
            </w:pPr>
            <w:r w:rsidRPr="00CF225B">
              <w:rPr>
                <w:rFonts w:eastAsia="Times New Roman" w:cs="Times New Roman"/>
                <w:color w:val="010205"/>
                <w:sz w:val="20"/>
                <w:szCs w:val="20"/>
                <w:lang w:eastAsia="cs-CZ"/>
              </w:rPr>
              <w:t>Mean</w:t>
            </w:r>
          </w:p>
        </w:tc>
        <w:tc>
          <w:tcPr>
            <w:tcW w:w="1276" w:type="dxa"/>
            <w:tcBorders>
              <w:top w:val="single" w:sz="4" w:space="0" w:color="auto"/>
              <w:left w:val="nil"/>
              <w:bottom w:val="nil"/>
              <w:right w:val="nil"/>
            </w:tcBorders>
            <w:shd w:val="clear" w:color="auto" w:fill="auto"/>
            <w:noWrap/>
            <w:hideMark/>
          </w:tcPr>
          <w:p w:rsidR="007C45E1" w:rsidRPr="00CF225B" w:rsidRDefault="007C45E1" w:rsidP="00E01698">
            <w:pPr>
              <w:rPr>
                <w:rFonts w:eastAsia="Times New Roman" w:cs="Times New Roman"/>
                <w:color w:val="010205"/>
                <w:sz w:val="20"/>
                <w:szCs w:val="20"/>
                <w:lang w:eastAsia="cs-CZ"/>
              </w:rPr>
            </w:pPr>
            <w:r w:rsidRPr="00CF225B">
              <w:rPr>
                <w:rFonts w:eastAsia="Times New Roman" w:cs="Times New Roman"/>
                <w:color w:val="010205"/>
                <w:sz w:val="20"/>
                <w:szCs w:val="20"/>
                <w:lang w:eastAsia="cs-CZ"/>
              </w:rPr>
              <w:t>-16,23</w:t>
            </w:r>
          </w:p>
        </w:tc>
        <w:tc>
          <w:tcPr>
            <w:tcW w:w="1275" w:type="dxa"/>
            <w:tcBorders>
              <w:top w:val="single" w:sz="4" w:space="0" w:color="auto"/>
              <w:left w:val="nil"/>
              <w:bottom w:val="nil"/>
              <w:right w:val="nil"/>
            </w:tcBorders>
            <w:shd w:val="clear" w:color="auto" w:fill="auto"/>
            <w:noWrap/>
            <w:hideMark/>
          </w:tcPr>
          <w:p w:rsidR="007C45E1" w:rsidRPr="00CF225B" w:rsidRDefault="007C45E1" w:rsidP="00E01698">
            <w:pPr>
              <w:rPr>
                <w:rFonts w:eastAsia="Times New Roman" w:cs="Times New Roman"/>
                <w:color w:val="010205"/>
                <w:sz w:val="20"/>
                <w:szCs w:val="20"/>
                <w:lang w:eastAsia="cs-CZ"/>
              </w:rPr>
            </w:pPr>
            <w:r w:rsidRPr="00CF225B">
              <w:rPr>
                <w:rFonts w:eastAsia="Times New Roman" w:cs="Times New Roman"/>
                <w:color w:val="010205"/>
                <w:sz w:val="20"/>
                <w:szCs w:val="20"/>
                <w:lang w:eastAsia="cs-CZ"/>
              </w:rPr>
              <w:t>-0,13</w:t>
            </w:r>
          </w:p>
        </w:tc>
        <w:tc>
          <w:tcPr>
            <w:tcW w:w="1139" w:type="dxa"/>
            <w:tcBorders>
              <w:top w:val="single" w:sz="4" w:space="0" w:color="auto"/>
              <w:left w:val="nil"/>
              <w:bottom w:val="nil"/>
              <w:right w:val="single" w:sz="4" w:space="0" w:color="auto"/>
            </w:tcBorders>
            <w:shd w:val="clear" w:color="auto" w:fill="auto"/>
            <w:noWrap/>
            <w:hideMark/>
          </w:tcPr>
          <w:p w:rsidR="007C45E1" w:rsidRPr="00CF225B" w:rsidRDefault="007C45E1" w:rsidP="00E01698">
            <w:pPr>
              <w:rPr>
                <w:rFonts w:eastAsia="Times New Roman" w:cs="Times New Roman"/>
                <w:color w:val="010205"/>
                <w:sz w:val="20"/>
                <w:szCs w:val="20"/>
                <w:lang w:eastAsia="cs-CZ"/>
              </w:rPr>
            </w:pPr>
            <w:r w:rsidRPr="00CF225B">
              <w:rPr>
                <w:rFonts w:eastAsia="Times New Roman" w:cs="Times New Roman"/>
                <w:color w:val="010205"/>
                <w:sz w:val="20"/>
                <w:szCs w:val="20"/>
                <w:lang w:eastAsia="cs-CZ"/>
              </w:rPr>
              <w:t>-1,73</w:t>
            </w:r>
          </w:p>
        </w:tc>
      </w:tr>
      <w:tr w:rsidR="007C45E1" w:rsidRPr="00CF225B" w:rsidTr="006873B7">
        <w:trPr>
          <w:trHeight w:val="170"/>
        </w:trPr>
        <w:tc>
          <w:tcPr>
            <w:tcW w:w="3964" w:type="dxa"/>
            <w:tcBorders>
              <w:top w:val="nil"/>
              <w:left w:val="single" w:sz="4" w:space="0" w:color="auto"/>
              <w:bottom w:val="nil"/>
              <w:right w:val="nil"/>
            </w:tcBorders>
            <w:shd w:val="clear" w:color="auto" w:fill="auto"/>
            <w:noWrap/>
            <w:vAlign w:val="bottom"/>
            <w:hideMark/>
          </w:tcPr>
          <w:p w:rsidR="007C45E1" w:rsidRPr="00CF225B" w:rsidRDefault="007C45E1" w:rsidP="00E01698">
            <w:pPr>
              <w:rPr>
                <w:rFonts w:eastAsia="Times New Roman" w:cs="Times New Roman"/>
                <w:color w:val="000000"/>
                <w:sz w:val="20"/>
                <w:szCs w:val="20"/>
                <w:lang w:eastAsia="cs-CZ"/>
              </w:rPr>
            </w:pPr>
            <w:r w:rsidRPr="00CF225B">
              <w:rPr>
                <w:rFonts w:eastAsia="Times New Roman" w:cs="Times New Roman"/>
                <w:color w:val="000000"/>
                <w:sz w:val="20"/>
                <w:szCs w:val="20"/>
                <w:lang w:eastAsia="cs-CZ"/>
              </w:rPr>
              <w:t> </w:t>
            </w:r>
          </w:p>
        </w:tc>
        <w:tc>
          <w:tcPr>
            <w:tcW w:w="1418" w:type="dxa"/>
            <w:tcBorders>
              <w:top w:val="single" w:sz="4" w:space="0" w:color="AEAEAE"/>
              <w:left w:val="nil"/>
              <w:bottom w:val="nil"/>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5% Trimmed Mean</w:t>
            </w:r>
          </w:p>
        </w:tc>
        <w:tc>
          <w:tcPr>
            <w:tcW w:w="1276" w:type="dxa"/>
            <w:tcBorders>
              <w:top w:val="single" w:sz="4" w:space="0" w:color="AEAEAE"/>
              <w:left w:val="nil"/>
              <w:bottom w:val="nil"/>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-1,38</w:t>
            </w:r>
          </w:p>
        </w:tc>
        <w:tc>
          <w:tcPr>
            <w:tcW w:w="1275" w:type="dxa"/>
            <w:tcBorders>
              <w:top w:val="single" w:sz="4" w:space="0" w:color="AEAEAE"/>
              <w:left w:val="nil"/>
              <w:bottom w:val="nil"/>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0,25</w:t>
            </w:r>
          </w:p>
        </w:tc>
        <w:tc>
          <w:tcPr>
            <w:tcW w:w="1139" w:type="dxa"/>
            <w:tcBorders>
              <w:top w:val="single" w:sz="4" w:space="0" w:color="AEAEAE"/>
              <w:left w:val="nil"/>
              <w:bottom w:val="nil"/>
              <w:right w:val="single" w:sz="4" w:space="0" w:color="auto"/>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0,55</w:t>
            </w:r>
          </w:p>
        </w:tc>
      </w:tr>
      <w:tr w:rsidR="007C45E1" w:rsidRPr="00CF225B" w:rsidTr="00377B28">
        <w:trPr>
          <w:trHeight w:val="170"/>
        </w:trPr>
        <w:tc>
          <w:tcPr>
            <w:tcW w:w="3964" w:type="dxa"/>
            <w:tcBorders>
              <w:top w:val="nil"/>
              <w:left w:val="single" w:sz="4" w:space="0" w:color="auto"/>
              <w:bottom w:val="single" w:sz="4" w:space="0" w:color="auto"/>
              <w:right w:val="nil"/>
            </w:tcBorders>
            <w:shd w:val="clear" w:color="auto" w:fill="auto"/>
            <w:noWrap/>
            <w:vAlign w:val="bottom"/>
            <w:hideMark/>
          </w:tcPr>
          <w:p w:rsidR="007C45E1" w:rsidRPr="00CF225B" w:rsidRDefault="007C45E1" w:rsidP="00E01698">
            <w:pPr>
              <w:rPr>
                <w:rFonts w:eastAsia="Times New Roman" w:cs="Times New Roman"/>
                <w:color w:val="000000"/>
                <w:sz w:val="20"/>
                <w:szCs w:val="20"/>
                <w:lang w:eastAsia="cs-CZ"/>
              </w:rPr>
            </w:pPr>
            <w:r w:rsidRPr="00CF225B">
              <w:rPr>
                <w:rFonts w:eastAsia="Times New Roman" w:cs="Times New Roman"/>
                <w:color w:val="000000"/>
                <w:sz w:val="20"/>
                <w:szCs w:val="20"/>
                <w:lang w:eastAsia="cs-CZ"/>
              </w:rPr>
              <w:lastRenderedPageBreak/>
              <w:t> </w:t>
            </w:r>
          </w:p>
        </w:tc>
        <w:tc>
          <w:tcPr>
            <w:tcW w:w="1418" w:type="dxa"/>
            <w:tcBorders>
              <w:top w:val="single" w:sz="4" w:space="0" w:color="AEAEAE"/>
              <w:left w:val="nil"/>
              <w:bottom w:val="single" w:sz="4" w:space="0" w:color="auto"/>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Median</w:t>
            </w:r>
          </w:p>
        </w:tc>
        <w:tc>
          <w:tcPr>
            <w:tcW w:w="1276" w:type="dxa"/>
            <w:tcBorders>
              <w:top w:val="single" w:sz="4" w:space="0" w:color="AEAEAE"/>
              <w:left w:val="nil"/>
              <w:bottom w:val="single" w:sz="4" w:space="0" w:color="auto"/>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-0,27</w:t>
            </w:r>
          </w:p>
        </w:tc>
        <w:tc>
          <w:tcPr>
            <w:tcW w:w="1275" w:type="dxa"/>
            <w:tcBorders>
              <w:top w:val="single" w:sz="4" w:space="0" w:color="AEAEAE"/>
              <w:left w:val="nil"/>
              <w:bottom w:val="single" w:sz="4" w:space="0" w:color="auto"/>
              <w:right w:val="nil"/>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0,35</w:t>
            </w:r>
          </w:p>
        </w:tc>
        <w:tc>
          <w:tcPr>
            <w:tcW w:w="1139" w:type="dxa"/>
            <w:tcBorders>
              <w:top w:val="single" w:sz="4" w:space="0" w:color="AEAEAE"/>
              <w:left w:val="nil"/>
              <w:bottom w:val="single" w:sz="4" w:space="0" w:color="auto"/>
              <w:right w:val="single" w:sz="4" w:space="0" w:color="auto"/>
            </w:tcBorders>
            <w:shd w:val="clear" w:color="auto" w:fill="auto"/>
            <w:noWrap/>
            <w:hideMark/>
          </w:tcPr>
          <w:p w:rsidR="007C45E1" w:rsidRPr="00CF225B" w:rsidRDefault="007C45E1" w:rsidP="00E01698">
            <w:pPr>
              <w:rPr>
                <w:rFonts w:eastAsia="Times New Roman" w:cs="Times New Roman"/>
                <w:b/>
                <w:color w:val="010205"/>
                <w:sz w:val="20"/>
                <w:szCs w:val="20"/>
                <w:lang w:eastAsia="cs-CZ"/>
              </w:rPr>
            </w:pPr>
            <w:r w:rsidRPr="00CF225B">
              <w:rPr>
                <w:rFonts w:eastAsia="Times New Roman" w:cs="Times New Roman"/>
                <w:b/>
                <w:color w:val="010205"/>
                <w:sz w:val="20"/>
                <w:szCs w:val="20"/>
                <w:lang w:eastAsia="cs-CZ"/>
              </w:rPr>
              <w:t>0,61</w:t>
            </w:r>
          </w:p>
        </w:tc>
      </w:tr>
    </w:tbl>
    <w:p w:rsidR="00807B7F" w:rsidRPr="00CF225B" w:rsidRDefault="00807B7F" w:rsidP="00E01698"/>
    <w:p w:rsidR="005B4C0D" w:rsidRDefault="005B4C0D" w:rsidP="00E01698">
      <w:r w:rsidRPr="00CF225B">
        <w:t>Průměrné hodnoty Kralickova Rychlého testu se nacházejí u úpadkových podniků ve všech třech letech před zjištěním úpadku v zóně bankrotu, tedy indikují směřování k úpadku v celém sledovaném období. Altmanovo Z-skóre se nachází v zóně bankrotu jeden a dva roky před zjištěním úpadku a index IN05 se (stejně jako Kralickův Rychlý test) nachází v zóně bankrotu ve všech třech letech před zjištěním úpadku. Index IN99 pak ve všech třech letech před zjištěním úpadku zařazuje podniky do kategorie podniků, které netvoří hodnotu.</w:t>
      </w:r>
      <w:r w:rsidR="005235F6" w:rsidRPr="00CF225B">
        <w:t xml:space="preserve"> Syntetické ukazatele tak v souhrnu indikují problémy již tři roky před zjištěním úpadku.</w:t>
      </w:r>
    </w:p>
    <w:p w:rsidR="00E01698" w:rsidRPr="00CF225B" w:rsidRDefault="00E01698" w:rsidP="00E01698"/>
    <w:p w:rsidR="00847272" w:rsidRDefault="009B43E3" w:rsidP="005A5A62">
      <w:pPr>
        <w:pStyle w:val="Nadpis3"/>
        <w:numPr>
          <w:ilvl w:val="2"/>
          <w:numId w:val="15"/>
        </w:numPr>
      </w:pPr>
      <w:bookmarkStart w:id="115" w:name="_Toc31054469"/>
      <w:r w:rsidRPr="00CF225B">
        <w:t xml:space="preserve">Relativní </w:t>
      </w:r>
      <w:r w:rsidRPr="00BF7426">
        <w:t>četnosti</w:t>
      </w:r>
      <w:r w:rsidRPr="00CF225B">
        <w:t xml:space="preserve"> p</w:t>
      </w:r>
      <w:r w:rsidR="006A291C" w:rsidRPr="00CF225B">
        <w:t>olarity</w:t>
      </w:r>
      <w:r w:rsidRPr="00CF225B">
        <w:t xml:space="preserve"> vybraných ukazatelů</w:t>
      </w:r>
      <w:bookmarkEnd w:id="115"/>
    </w:p>
    <w:p w:rsidR="000C1EA6" w:rsidRPr="000C1EA6" w:rsidRDefault="000C1EA6" w:rsidP="000C1EA6">
      <w:pPr>
        <w:rPr>
          <w:lang w:eastAsia="cs-CZ"/>
        </w:rPr>
      </w:pPr>
    </w:p>
    <w:p w:rsidR="00E75770" w:rsidRPr="00FF0D08" w:rsidRDefault="009B43E3" w:rsidP="00FF0D08">
      <w:pPr>
        <w:rPr>
          <w:b/>
        </w:rPr>
      </w:pPr>
      <w:r w:rsidRPr="00FF0D08">
        <w:rPr>
          <w:b/>
        </w:rPr>
        <w:t>Polarita úrovní tvorby zisku</w:t>
      </w:r>
    </w:p>
    <w:p w:rsidR="00FF0D08" w:rsidRPr="00FF0D08" w:rsidRDefault="00FF0D08" w:rsidP="00FF0D08"/>
    <w:p w:rsidR="001545FF" w:rsidRDefault="001545FF" w:rsidP="001545FF">
      <w:pPr>
        <w:pStyle w:val="Titulek"/>
        <w:keepNext/>
      </w:pPr>
      <w:bookmarkStart w:id="116" w:name="_Toc31054819"/>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43</w:t>
      </w:r>
      <w:r w:rsidR="00163A91">
        <w:rPr>
          <w:noProof/>
        </w:rPr>
        <w:fldChar w:fldCharType="end"/>
      </w:r>
      <w:r>
        <w:t xml:space="preserve"> Polarita úrovní tvorby zisku</w:t>
      </w:r>
      <w:bookmarkEnd w:id="116"/>
    </w:p>
    <w:tbl>
      <w:tblPr>
        <w:tblW w:w="9072" w:type="dxa"/>
        <w:tblCellMar>
          <w:left w:w="70" w:type="dxa"/>
          <w:right w:w="70" w:type="dxa"/>
        </w:tblCellMar>
        <w:tblLook w:val="04A0"/>
      </w:tblPr>
      <w:tblGrid>
        <w:gridCol w:w="2829"/>
        <w:gridCol w:w="2613"/>
        <w:gridCol w:w="1210"/>
        <w:gridCol w:w="1210"/>
        <w:gridCol w:w="1210"/>
      </w:tblGrid>
      <w:tr w:rsidR="00E75770" w:rsidRPr="00CF225B" w:rsidTr="001545FF">
        <w:trPr>
          <w:trHeight w:val="284"/>
        </w:trPr>
        <w:tc>
          <w:tcPr>
            <w:tcW w:w="5442" w:type="dxa"/>
            <w:gridSpan w:val="2"/>
            <w:tcBorders>
              <w:top w:val="single" w:sz="4" w:space="0" w:color="auto"/>
              <w:left w:val="single" w:sz="4" w:space="0" w:color="auto"/>
              <w:bottom w:val="single" w:sz="4" w:space="0" w:color="auto"/>
              <w:right w:val="nil"/>
            </w:tcBorders>
            <w:shd w:val="clear" w:color="auto" w:fill="auto"/>
            <w:vAlign w:val="center"/>
            <w:hideMark/>
          </w:tcPr>
          <w:p w:rsidR="00E75770" w:rsidRPr="000C1EA6" w:rsidRDefault="00E75770" w:rsidP="00E01698">
            <w:pPr>
              <w:rPr>
                <w:sz w:val="20"/>
                <w:szCs w:val="20"/>
                <w:lang w:eastAsia="cs-CZ"/>
              </w:rPr>
            </w:pPr>
            <w:r w:rsidRPr="000C1EA6">
              <w:rPr>
                <w:sz w:val="20"/>
                <w:szCs w:val="20"/>
                <w:lang w:eastAsia="cs-CZ"/>
              </w:rPr>
              <w:t> </w:t>
            </w:r>
          </w:p>
        </w:tc>
        <w:tc>
          <w:tcPr>
            <w:tcW w:w="1210" w:type="dxa"/>
            <w:tcBorders>
              <w:top w:val="single" w:sz="4" w:space="0" w:color="auto"/>
              <w:left w:val="nil"/>
              <w:bottom w:val="single" w:sz="4" w:space="0" w:color="auto"/>
              <w:right w:val="nil"/>
            </w:tcBorders>
            <w:shd w:val="clear" w:color="auto" w:fill="auto"/>
            <w:vAlign w:val="center"/>
            <w:hideMark/>
          </w:tcPr>
          <w:p w:rsidR="00E75770" w:rsidRPr="000C1EA6" w:rsidRDefault="00E75770" w:rsidP="00E01698">
            <w:pPr>
              <w:rPr>
                <w:color w:val="264A60"/>
                <w:sz w:val="20"/>
                <w:szCs w:val="20"/>
                <w:lang w:eastAsia="cs-CZ"/>
              </w:rPr>
            </w:pPr>
            <w:r w:rsidRPr="000C1EA6">
              <w:rPr>
                <w:color w:val="264A60"/>
                <w:sz w:val="20"/>
                <w:szCs w:val="20"/>
                <w:lang w:eastAsia="cs-CZ"/>
              </w:rPr>
              <w:t>1 rok před úpadkem</w:t>
            </w:r>
          </w:p>
        </w:tc>
        <w:tc>
          <w:tcPr>
            <w:tcW w:w="1210" w:type="dxa"/>
            <w:tcBorders>
              <w:top w:val="single" w:sz="4" w:space="0" w:color="auto"/>
              <w:left w:val="nil"/>
              <w:bottom w:val="single" w:sz="4" w:space="0" w:color="auto"/>
              <w:right w:val="nil"/>
            </w:tcBorders>
            <w:shd w:val="clear" w:color="auto" w:fill="auto"/>
            <w:vAlign w:val="center"/>
            <w:hideMark/>
          </w:tcPr>
          <w:p w:rsidR="00E75770" w:rsidRPr="000C1EA6" w:rsidRDefault="00E75770" w:rsidP="00E01698">
            <w:pPr>
              <w:rPr>
                <w:color w:val="264A60"/>
                <w:sz w:val="20"/>
                <w:szCs w:val="20"/>
                <w:lang w:eastAsia="cs-CZ"/>
              </w:rPr>
            </w:pPr>
            <w:r w:rsidRPr="000C1EA6">
              <w:rPr>
                <w:color w:val="264A60"/>
                <w:sz w:val="20"/>
                <w:szCs w:val="20"/>
                <w:lang w:eastAsia="cs-CZ"/>
              </w:rPr>
              <w:t>2 roky před úpadkem</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E75770" w:rsidRPr="000C1EA6" w:rsidRDefault="00E75770" w:rsidP="00E01698">
            <w:pPr>
              <w:rPr>
                <w:color w:val="264A60"/>
                <w:sz w:val="20"/>
                <w:szCs w:val="20"/>
                <w:lang w:eastAsia="cs-CZ"/>
              </w:rPr>
            </w:pPr>
            <w:r w:rsidRPr="000C1EA6">
              <w:rPr>
                <w:color w:val="264A60"/>
                <w:sz w:val="20"/>
                <w:szCs w:val="20"/>
                <w:lang w:eastAsia="cs-CZ"/>
              </w:rPr>
              <w:t>3 roky před úpadkem</w:t>
            </w:r>
          </w:p>
        </w:tc>
      </w:tr>
      <w:tr w:rsidR="00E75770" w:rsidRPr="00CF225B" w:rsidTr="001545FF">
        <w:trPr>
          <w:trHeight w:val="284"/>
        </w:trPr>
        <w:tc>
          <w:tcPr>
            <w:tcW w:w="2829" w:type="dxa"/>
            <w:vMerge w:val="restart"/>
            <w:tcBorders>
              <w:top w:val="nil"/>
              <w:left w:val="single" w:sz="4" w:space="0" w:color="auto"/>
              <w:bottom w:val="single" w:sz="4" w:space="0" w:color="AEAEAE"/>
              <w:right w:val="nil"/>
            </w:tcBorders>
            <w:shd w:val="clear" w:color="auto" w:fill="auto"/>
            <w:vAlign w:val="center"/>
            <w:hideMark/>
          </w:tcPr>
          <w:p w:rsidR="00E75770" w:rsidRPr="000C1EA6" w:rsidRDefault="00E75770" w:rsidP="00E01698">
            <w:pPr>
              <w:rPr>
                <w:sz w:val="20"/>
                <w:szCs w:val="20"/>
                <w:lang w:eastAsia="cs-CZ"/>
              </w:rPr>
            </w:pPr>
            <w:r w:rsidRPr="000C1EA6">
              <w:rPr>
                <w:sz w:val="20"/>
                <w:szCs w:val="20"/>
                <w:lang w:eastAsia="cs-CZ"/>
              </w:rPr>
              <w:t>Polarita přidané hodnoty</w:t>
            </w:r>
          </w:p>
        </w:tc>
        <w:tc>
          <w:tcPr>
            <w:tcW w:w="2613" w:type="dxa"/>
            <w:tcBorders>
              <w:top w:val="nil"/>
              <w:left w:val="nil"/>
              <w:bottom w:val="single" w:sz="4" w:space="0" w:color="AEAEAE"/>
              <w:right w:val="nil"/>
            </w:tcBorders>
            <w:shd w:val="clear" w:color="auto" w:fill="auto"/>
            <w:vAlign w:val="center"/>
            <w:hideMark/>
          </w:tcPr>
          <w:p w:rsidR="00E75770" w:rsidRPr="000C1EA6" w:rsidRDefault="00E75770" w:rsidP="00E01698">
            <w:pPr>
              <w:rPr>
                <w:b/>
                <w:sz w:val="20"/>
                <w:szCs w:val="20"/>
                <w:lang w:eastAsia="cs-CZ"/>
              </w:rPr>
            </w:pPr>
            <w:r w:rsidRPr="000C1EA6">
              <w:rPr>
                <w:b/>
                <w:sz w:val="20"/>
                <w:szCs w:val="20"/>
                <w:lang w:eastAsia="cs-CZ"/>
              </w:rPr>
              <w:t>Kladná přidaná hodnota</w:t>
            </w:r>
          </w:p>
        </w:tc>
        <w:tc>
          <w:tcPr>
            <w:tcW w:w="1210" w:type="dxa"/>
            <w:tcBorders>
              <w:top w:val="single" w:sz="4" w:space="0" w:color="152935"/>
              <w:left w:val="nil"/>
              <w:bottom w:val="single" w:sz="4" w:space="0" w:color="AEAEAE"/>
              <w:right w:val="nil"/>
            </w:tcBorders>
            <w:shd w:val="clear" w:color="auto" w:fill="auto"/>
            <w:noWrap/>
            <w:vAlign w:val="center"/>
            <w:hideMark/>
          </w:tcPr>
          <w:p w:rsidR="00E75770" w:rsidRPr="000C1EA6" w:rsidRDefault="00E75770" w:rsidP="00E01698">
            <w:pPr>
              <w:rPr>
                <w:b/>
                <w:sz w:val="20"/>
                <w:szCs w:val="20"/>
                <w:lang w:eastAsia="cs-CZ"/>
              </w:rPr>
            </w:pPr>
            <w:r w:rsidRPr="000C1EA6">
              <w:rPr>
                <w:b/>
                <w:sz w:val="20"/>
                <w:szCs w:val="20"/>
                <w:lang w:eastAsia="cs-CZ"/>
              </w:rPr>
              <w:t>66,0</w:t>
            </w:r>
            <w:r w:rsidR="00F93571" w:rsidRPr="000C1EA6">
              <w:rPr>
                <w:b/>
                <w:sz w:val="20"/>
                <w:szCs w:val="20"/>
                <w:lang w:eastAsia="cs-CZ"/>
              </w:rPr>
              <w:t xml:space="preserve"> </w:t>
            </w:r>
            <w:r w:rsidRPr="000C1EA6">
              <w:rPr>
                <w:b/>
                <w:sz w:val="20"/>
                <w:szCs w:val="20"/>
                <w:lang w:eastAsia="cs-CZ"/>
              </w:rPr>
              <w:t>%</w:t>
            </w:r>
          </w:p>
        </w:tc>
        <w:tc>
          <w:tcPr>
            <w:tcW w:w="1210" w:type="dxa"/>
            <w:tcBorders>
              <w:top w:val="single" w:sz="4" w:space="0" w:color="152935"/>
              <w:left w:val="nil"/>
              <w:bottom w:val="single" w:sz="4" w:space="0" w:color="AEAEAE"/>
              <w:right w:val="nil"/>
            </w:tcBorders>
            <w:shd w:val="clear" w:color="auto" w:fill="auto"/>
            <w:noWrap/>
            <w:vAlign w:val="center"/>
            <w:hideMark/>
          </w:tcPr>
          <w:p w:rsidR="00E75770" w:rsidRPr="000C1EA6" w:rsidRDefault="00E75770" w:rsidP="00E01698">
            <w:pPr>
              <w:rPr>
                <w:b/>
                <w:sz w:val="20"/>
                <w:szCs w:val="20"/>
                <w:lang w:eastAsia="cs-CZ"/>
              </w:rPr>
            </w:pPr>
            <w:r w:rsidRPr="000C1EA6">
              <w:rPr>
                <w:b/>
                <w:sz w:val="20"/>
                <w:szCs w:val="20"/>
                <w:lang w:eastAsia="cs-CZ"/>
              </w:rPr>
              <w:t>76,3</w:t>
            </w:r>
            <w:r w:rsidR="00F93571" w:rsidRPr="000C1EA6">
              <w:rPr>
                <w:b/>
                <w:sz w:val="20"/>
                <w:szCs w:val="20"/>
                <w:lang w:eastAsia="cs-CZ"/>
              </w:rPr>
              <w:t xml:space="preserve"> </w:t>
            </w:r>
            <w:r w:rsidRPr="000C1EA6">
              <w:rPr>
                <w:b/>
                <w:sz w:val="20"/>
                <w:szCs w:val="20"/>
                <w:lang w:eastAsia="cs-CZ"/>
              </w:rPr>
              <w:t>%</w:t>
            </w:r>
          </w:p>
        </w:tc>
        <w:tc>
          <w:tcPr>
            <w:tcW w:w="121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0C1EA6" w:rsidRDefault="00E75770" w:rsidP="00E01698">
            <w:pPr>
              <w:rPr>
                <w:b/>
                <w:sz w:val="20"/>
                <w:szCs w:val="20"/>
                <w:lang w:eastAsia="cs-CZ"/>
              </w:rPr>
            </w:pPr>
            <w:r w:rsidRPr="000C1EA6">
              <w:rPr>
                <w:b/>
                <w:sz w:val="20"/>
                <w:szCs w:val="20"/>
                <w:lang w:eastAsia="cs-CZ"/>
              </w:rPr>
              <w:t>80,5</w:t>
            </w:r>
            <w:r w:rsidR="00F93571" w:rsidRPr="000C1EA6">
              <w:rPr>
                <w:b/>
                <w:sz w:val="20"/>
                <w:szCs w:val="20"/>
                <w:lang w:eastAsia="cs-CZ"/>
              </w:rPr>
              <w:t xml:space="preserve"> </w:t>
            </w:r>
            <w:r w:rsidRPr="000C1EA6">
              <w:rPr>
                <w:b/>
                <w:sz w:val="20"/>
                <w:szCs w:val="20"/>
                <w:lang w:eastAsia="cs-CZ"/>
              </w:rPr>
              <w:t>%</w:t>
            </w:r>
          </w:p>
        </w:tc>
      </w:tr>
      <w:tr w:rsidR="00E75770" w:rsidRPr="00CF225B" w:rsidTr="001545FF">
        <w:trPr>
          <w:trHeight w:val="284"/>
        </w:trPr>
        <w:tc>
          <w:tcPr>
            <w:tcW w:w="2829" w:type="dxa"/>
            <w:vMerge/>
            <w:tcBorders>
              <w:top w:val="nil"/>
              <w:left w:val="single" w:sz="4" w:space="0" w:color="auto"/>
              <w:bottom w:val="single" w:sz="4" w:space="0" w:color="AEAEAE"/>
              <w:right w:val="nil"/>
            </w:tcBorders>
            <w:vAlign w:val="center"/>
            <w:hideMark/>
          </w:tcPr>
          <w:p w:rsidR="00E75770" w:rsidRPr="000C1EA6" w:rsidRDefault="00E75770" w:rsidP="00E01698">
            <w:pPr>
              <w:rPr>
                <w:sz w:val="20"/>
                <w:szCs w:val="20"/>
                <w:lang w:eastAsia="cs-CZ"/>
              </w:rPr>
            </w:pPr>
          </w:p>
        </w:tc>
        <w:tc>
          <w:tcPr>
            <w:tcW w:w="2613" w:type="dxa"/>
            <w:tcBorders>
              <w:top w:val="nil"/>
              <w:left w:val="nil"/>
              <w:bottom w:val="single" w:sz="4" w:space="0" w:color="AEAEAE"/>
              <w:right w:val="nil"/>
            </w:tcBorders>
            <w:shd w:val="clear" w:color="auto" w:fill="auto"/>
            <w:vAlign w:val="center"/>
            <w:hideMark/>
          </w:tcPr>
          <w:p w:rsidR="00E75770" w:rsidRPr="000C1EA6" w:rsidRDefault="00E75770" w:rsidP="00E01698">
            <w:pPr>
              <w:rPr>
                <w:sz w:val="20"/>
                <w:szCs w:val="20"/>
                <w:lang w:eastAsia="cs-CZ"/>
              </w:rPr>
            </w:pPr>
            <w:r w:rsidRPr="000C1EA6">
              <w:rPr>
                <w:sz w:val="20"/>
                <w:szCs w:val="20"/>
                <w:lang w:eastAsia="cs-CZ"/>
              </w:rPr>
              <w:t>Záporná přidaná hodnota</w:t>
            </w:r>
          </w:p>
        </w:tc>
        <w:tc>
          <w:tcPr>
            <w:tcW w:w="1210" w:type="dxa"/>
            <w:tcBorders>
              <w:top w:val="nil"/>
              <w:left w:val="nil"/>
              <w:bottom w:val="single" w:sz="4" w:space="0" w:color="AEAEAE"/>
              <w:right w:val="nil"/>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34,0</w:t>
            </w:r>
            <w:r w:rsidR="00F93571" w:rsidRPr="000C1EA6">
              <w:rPr>
                <w:sz w:val="20"/>
                <w:szCs w:val="20"/>
                <w:lang w:eastAsia="cs-CZ"/>
              </w:rPr>
              <w:t xml:space="preserve"> </w:t>
            </w:r>
            <w:r w:rsidRPr="000C1EA6">
              <w:rPr>
                <w:sz w:val="20"/>
                <w:szCs w:val="20"/>
                <w:lang w:eastAsia="cs-CZ"/>
              </w:rPr>
              <w:t>%</w:t>
            </w:r>
          </w:p>
        </w:tc>
        <w:tc>
          <w:tcPr>
            <w:tcW w:w="1210" w:type="dxa"/>
            <w:tcBorders>
              <w:top w:val="nil"/>
              <w:left w:val="nil"/>
              <w:bottom w:val="single" w:sz="4" w:space="0" w:color="AEAEAE"/>
              <w:right w:val="nil"/>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23,7</w:t>
            </w:r>
            <w:r w:rsidR="00F93571" w:rsidRPr="000C1EA6">
              <w:rPr>
                <w:sz w:val="20"/>
                <w:szCs w:val="20"/>
                <w:lang w:eastAsia="cs-CZ"/>
              </w:rPr>
              <w:t xml:space="preserve"> </w:t>
            </w:r>
            <w:r w:rsidRPr="000C1EA6">
              <w:rPr>
                <w:sz w:val="20"/>
                <w:szCs w:val="20"/>
                <w:lang w:eastAsia="cs-CZ"/>
              </w:rPr>
              <w:t>%</w:t>
            </w:r>
          </w:p>
        </w:tc>
        <w:tc>
          <w:tcPr>
            <w:tcW w:w="1210" w:type="dxa"/>
            <w:tcBorders>
              <w:top w:val="nil"/>
              <w:left w:val="nil"/>
              <w:bottom w:val="single" w:sz="4" w:space="0" w:color="AEAEAE"/>
              <w:right w:val="single" w:sz="4" w:space="0" w:color="auto"/>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19,5</w:t>
            </w:r>
            <w:r w:rsidR="00F93571" w:rsidRPr="000C1EA6">
              <w:rPr>
                <w:sz w:val="20"/>
                <w:szCs w:val="20"/>
                <w:lang w:eastAsia="cs-CZ"/>
              </w:rPr>
              <w:t xml:space="preserve"> </w:t>
            </w:r>
            <w:r w:rsidRPr="000C1EA6">
              <w:rPr>
                <w:sz w:val="20"/>
                <w:szCs w:val="20"/>
                <w:lang w:eastAsia="cs-CZ"/>
              </w:rPr>
              <w:t>%</w:t>
            </w:r>
          </w:p>
        </w:tc>
      </w:tr>
      <w:tr w:rsidR="00E75770" w:rsidRPr="00CF225B" w:rsidTr="001545FF">
        <w:trPr>
          <w:trHeight w:val="284"/>
        </w:trPr>
        <w:tc>
          <w:tcPr>
            <w:tcW w:w="5442"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0C1EA6" w:rsidRDefault="00E75770" w:rsidP="00E01698">
            <w:pPr>
              <w:rPr>
                <w:sz w:val="20"/>
                <w:szCs w:val="20"/>
                <w:lang w:eastAsia="cs-CZ"/>
              </w:rPr>
            </w:pPr>
            <w:r w:rsidRPr="000C1EA6">
              <w:rPr>
                <w:sz w:val="20"/>
                <w:szCs w:val="20"/>
                <w:lang w:eastAsia="cs-CZ"/>
              </w:rPr>
              <w:t>Total</w:t>
            </w:r>
          </w:p>
        </w:tc>
        <w:tc>
          <w:tcPr>
            <w:tcW w:w="1210" w:type="dxa"/>
            <w:tcBorders>
              <w:top w:val="nil"/>
              <w:left w:val="nil"/>
              <w:bottom w:val="single" w:sz="4" w:space="0" w:color="auto"/>
              <w:right w:val="nil"/>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100,0</w:t>
            </w:r>
            <w:r w:rsidR="00F93571" w:rsidRPr="000C1EA6">
              <w:rPr>
                <w:sz w:val="20"/>
                <w:szCs w:val="20"/>
                <w:lang w:eastAsia="cs-CZ"/>
              </w:rPr>
              <w:t xml:space="preserve"> </w:t>
            </w:r>
            <w:r w:rsidRPr="000C1EA6">
              <w:rPr>
                <w:sz w:val="20"/>
                <w:szCs w:val="20"/>
                <w:lang w:eastAsia="cs-CZ"/>
              </w:rPr>
              <w:t>%</w:t>
            </w:r>
          </w:p>
        </w:tc>
        <w:tc>
          <w:tcPr>
            <w:tcW w:w="1210" w:type="dxa"/>
            <w:tcBorders>
              <w:top w:val="nil"/>
              <w:left w:val="nil"/>
              <w:bottom w:val="single" w:sz="4" w:space="0" w:color="auto"/>
              <w:right w:val="nil"/>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100,0</w:t>
            </w:r>
            <w:r w:rsidR="00F93571" w:rsidRPr="000C1EA6">
              <w:rPr>
                <w:sz w:val="20"/>
                <w:szCs w:val="20"/>
                <w:lang w:eastAsia="cs-CZ"/>
              </w:rPr>
              <w:t xml:space="preserve"> </w:t>
            </w:r>
            <w:r w:rsidRPr="000C1EA6">
              <w:rPr>
                <w:sz w:val="20"/>
                <w:szCs w:val="20"/>
                <w:lang w:eastAsia="cs-CZ"/>
              </w:rPr>
              <w:t>%</w:t>
            </w:r>
          </w:p>
        </w:tc>
        <w:tc>
          <w:tcPr>
            <w:tcW w:w="1210" w:type="dxa"/>
            <w:tcBorders>
              <w:top w:val="nil"/>
              <w:left w:val="nil"/>
              <w:bottom w:val="single" w:sz="4" w:space="0" w:color="auto"/>
              <w:right w:val="single" w:sz="4" w:space="0" w:color="auto"/>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100,0</w:t>
            </w:r>
            <w:r w:rsidR="00F93571" w:rsidRPr="000C1EA6">
              <w:rPr>
                <w:sz w:val="20"/>
                <w:szCs w:val="20"/>
                <w:lang w:eastAsia="cs-CZ"/>
              </w:rPr>
              <w:t xml:space="preserve"> </w:t>
            </w:r>
            <w:r w:rsidRPr="000C1EA6">
              <w:rPr>
                <w:sz w:val="20"/>
                <w:szCs w:val="20"/>
                <w:lang w:eastAsia="cs-CZ"/>
              </w:rPr>
              <w:t>%</w:t>
            </w:r>
          </w:p>
        </w:tc>
      </w:tr>
      <w:tr w:rsidR="00E75770" w:rsidRPr="00CF225B" w:rsidTr="001545FF">
        <w:trPr>
          <w:trHeight w:val="284"/>
        </w:trPr>
        <w:tc>
          <w:tcPr>
            <w:tcW w:w="2829" w:type="dxa"/>
            <w:vMerge w:val="restart"/>
            <w:tcBorders>
              <w:top w:val="nil"/>
              <w:left w:val="single" w:sz="4" w:space="0" w:color="auto"/>
              <w:bottom w:val="single" w:sz="4" w:space="0" w:color="AEAEAE"/>
              <w:right w:val="nil"/>
            </w:tcBorders>
            <w:shd w:val="clear" w:color="auto" w:fill="auto"/>
            <w:vAlign w:val="center"/>
            <w:hideMark/>
          </w:tcPr>
          <w:p w:rsidR="00E75770" w:rsidRPr="000C1EA6" w:rsidRDefault="00E75770" w:rsidP="00E01698">
            <w:pPr>
              <w:rPr>
                <w:sz w:val="20"/>
                <w:szCs w:val="20"/>
                <w:lang w:eastAsia="cs-CZ"/>
              </w:rPr>
            </w:pPr>
            <w:r w:rsidRPr="000C1EA6">
              <w:rPr>
                <w:sz w:val="20"/>
                <w:szCs w:val="20"/>
                <w:lang w:eastAsia="cs-CZ"/>
              </w:rPr>
              <w:t>Polarita primární EBITDA</w:t>
            </w:r>
          </w:p>
        </w:tc>
        <w:tc>
          <w:tcPr>
            <w:tcW w:w="2613" w:type="dxa"/>
            <w:tcBorders>
              <w:top w:val="nil"/>
              <w:left w:val="nil"/>
              <w:bottom w:val="single" w:sz="4" w:space="0" w:color="AEAEAE"/>
              <w:right w:val="nil"/>
            </w:tcBorders>
            <w:shd w:val="clear" w:color="auto" w:fill="auto"/>
            <w:vAlign w:val="center"/>
            <w:hideMark/>
          </w:tcPr>
          <w:p w:rsidR="00E75770" w:rsidRPr="000C1EA6" w:rsidRDefault="00E75770" w:rsidP="00E01698">
            <w:pPr>
              <w:rPr>
                <w:sz w:val="20"/>
                <w:szCs w:val="20"/>
                <w:lang w:eastAsia="cs-CZ"/>
              </w:rPr>
            </w:pPr>
            <w:r w:rsidRPr="000C1EA6">
              <w:rPr>
                <w:sz w:val="20"/>
                <w:szCs w:val="20"/>
                <w:lang w:eastAsia="cs-CZ"/>
              </w:rPr>
              <w:t>Kladná primární EBITDA</w:t>
            </w:r>
          </w:p>
        </w:tc>
        <w:tc>
          <w:tcPr>
            <w:tcW w:w="1210" w:type="dxa"/>
            <w:tcBorders>
              <w:top w:val="single" w:sz="4" w:space="0" w:color="152935"/>
              <w:left w:val="nil"/>
              <w:bottom w:val="single" w:sz="4" w:space="0" w:color="AEAEAE"/>
              <w:right w:val="nil"/>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26,0</w:t>
            </w:r>
            <w:r w:rsidR="00F93571" w:rsidRPr="000C1EA6">
              <w:rPr>
                <w:sz w:val="20"/>
                <w:szCs w:val="20"/>
                <w:lang w:eastAsia="cs-CZ"/>
              </w:rPr>
              <w:t xml:space="preserve"> </w:t>
            </w:r>
            <w:r w:rsidRPr="000C1EA6">
              <w:rPr>
                <w:sz w:val="20"/>
                <w:szCs w:val="20"/>
                <w:lang w:eastAsia="cs-CZ"/>
              </w:rPr>
              <w:t>%</w:t>
            </w:r>
          </w:p>
        </w:tc>
        <w:tc>
          <w:tcPr>
            <w:tcW w:w="1210" w:type="dxa"/>
            <w:tcBorders>
              <w:top w:val="single" w:sz="4" w:space="0" w:color="152935"/>
              <w:left w:val="nil"/>
              <w:bottom w:val="single" w:sz="4" w:space="0" w:color="AEAEAE"/>
              <w:right w:val="nil"/>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44,4</w:t>
            </w:r>
            <w:r w:rsidR="00F93571" w:rsidRPr="000C1EA6">
              <w:rPr>
                <w:sz w:val="20"/>
                <w:szCs w:val="20"/>
                <w:lang w:eastAsia="cs-CZ"/>
              </w:rPr>
              <w:t xml:space="preserve"> </w:t>
            </w:r>
            <w:r w:rsidRPr="000C1EA6">
              <w:rPr>
                <w:sz w:val="20"/>
                <w:szCs w:val="20"/>
                <w:lang w:eastAsia="cs-CZ"/>
              </w:rPr>
              <w:t>%</w:t>
            </w:r>
          </w:p>
        </w:tc>
        <w:tc>
          <w:tcPr>
            <w:tcW w:w="121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51,4</w:t>
            </w:r>
            <w:r w:rsidR="00F93571" w:rsidRPr="000C1EA6">
              <w:rPr>
                <w:sz w:val="20"/>
                <w:szCs w:val="20"/>
                <w:lang w:eastAsia="cs-CZ"/>
              </w:rPr>
              <w:t xml:space="preserve"> </w:t>
            </w:r>
            <w:r w:rsidRPr="000C1EA6">
              <w:rPr>
                <w:sz w:val="20"/>
                <w:szCs w:val="20"/>
                <w:lang w:eastAsia="cs-CZ"/>
              </w:rPr>
              <w:t>%</w:t>
            </w:r>
          </w:p>
        </w:tc>
      </w:tr>
      <w:tr w:rsidR="00E75770" w:rsidRPr="00CF225B" w:rsidTr="001545FF">
        <w:trPr>
          <w:trHeight w:val="284"/>
        </w:trPr>
        <w:tc>
          <w:tcPr>
            <w:tcW w:w="2829" w:type="dxa"/>
            <w:vMerge/>
            <w:tcBorders>
              <w:top w:val="nil"/>
              <w:left w:val="single" w:sz="4" w:space="0" w:color="auto"/>
              <w:bottom w:val="single" w:sz="4" w:space="0" w:color="AEAEAE"/>
              <w:right w:val="nil"/>
            </w:tcBorders>
            <w:vAlign w:val="center"/>
            <w:hideMark/>
          </w:tcPr>
          <w:p w:rsidR="00E75770" w:rsidRPr="000C1EA6" w:rsidRDefault="00E75770" w:rsidP="00E01698">
            <w:pPr>
              <w:rPr>
                <w:sz w:val="20"/>
                <w:szCs w:val="20"/>
                <w:lang w:eastAsia="cs-CZ"/>
              </w:rPr>
            </w:pPr>
          </w:p>
        </w:tc>
        <w:tc>
          <w:tcPr>
            <w:tcW w:w="2613" w:type="dxa"/>
            <w:tcBorders>
              <w:top w:val="nil"/>
              <w:left w:val="nil"/>
              <w:bottom w:val="single" w:sz="4" w:space="0" w:color="AEAEAE"/>
              <w:right w:val="nil"/>
            </w:tcBorders>
            <w:shd w:val="clear" w:color="auto" w:fill="auto"/>
            <w:vAlign w:val="center"/>
            <w:hideMark/>
          </w:tcPr>
          <w:p w:rsidR="00E75770" w:rsidRPr="000C1EA6" w:rsidRDefault="00E75770" w:rsidP="00E01698">
            <w:pPr>
              <w:rPr>
                <w:b/>
                <w:sz w:val="20"/>
                <w:szCs w:val="20"/>
                <w:lang w:eastAsia="cs-CZ"/>
              </w:rPr>
            </w:pPr>
            <w:r w:rsidRPr="000C1EA6">
              <w:rPr>
                <w:b/>
                <w:sz w:val="20"/>
                <w:szCs w:val="20"/>
                <w:lang w:eastAsia="cs-CZ"/>
              </w:rPr>
              <w:t>Záporná primární EBITDA</w:t>
            </w:r>
          </w:p>
        </w:tc>
        <w:tc>
          <w:tcPr>
            <w:tcW w:w="1210" w:type="dxa"/>
            <w:tcBorders>
              <w:top w:val="nil"/>
              <w:left w:val="nil"/>
              <w:bottom w:val="single" w:sz="4" w:space="0" w:color="AEAEAE"/>
              <w:right w:val="nil"/>
            </w:tcBorders>
            <w:shd w:val="clear" w:color="auto" w:fill="auto"/>
            <w:noWrap/>
            <w:vAlign w:val="center"/>
            <w:hideMark/>
          </w:tcPr>
          <w:p w:rsidR="00E75770" w:rsidRPr="000C1EA6" w:rsidRDefault="00E75770" w:rsidP="00E01698">
            <w:pPr>
              <w:rPr>
                <w:b/>
                <w:sz w:val="20"/>
                <w:szCs w:val="20"/>
                <w:lang w:eastAsia="cs-CZ"/>
              </w:rPr>
            </w:pPr>
            <w:r w:rsidRPr="000C1EA6">
              <w:rPr>
                <w:b/>
                <w:sz w:val="20"/>
                <w:szCs w:val="20"/>
                <w:lang w:eastAsia="cs-CZ"/>
              </w:rPr>
              <w:t>74,0</w:t>
            </w:r>
            <w:r w:rsidR="00F93571" w:rsidRPr="000C1EA6">
              <w:rPr>
                <w:b/>
                <w:sz w:val="20"/>
                <w:szCs w:val="20"/>
                <w:lang w:eastAsia="cs-CZ"/>
              </w:rPr>
              <w:t xml:space="preserve"> </w:t>
            </w:r>
            <w:r w:rsidRPr="000C1EA6">
              <w:rPr>
                <w:b/>
                <w:sz w:val="20"/>
                <w:szCs w:val="20"/>
                <w:lang w:eastAsia="cs-CZ"/>
              </w:rPr>
              <w:t>%</w:t>
            </w:r>
          </w:p>
        </w:tc>
        <w:tc>
          <w:tcPr>
            <w:tcW w:w="1210" w:type="dxa"/>
            <w:tcBorders>
              <w:top w:val="nil"/>
              <w:left w:val="nil"/>
              <w:bottom w:val="single" w:sz="4" w:space="0" w:color="AEAEAE"/>
              <w:right w:val="nil"/>
            </w:tcBorders>
            <w:shd w:val="clear" w:color="auto" w:fill="auto"/>
            <w:noWrap/>
            <w:vAlign w:val="center"/>
            <w:hideMark/>
          </w:tcPr>
          <w:p w:rsidR="00E75770" w:rsidRPr="000C1EA6" w:rsidRDefault="00E75770" w:rsidP="00E01698">
            <w:pPr>
              <w:rPr>
                <w:b/>
                <w:sz w:val="20"/>
                <w:szCs w:val="20"/>
                <w:lang w:eastAsia="cs-CZ"/>
              </w:rPr>
            </w:pPr>
            <w:r w:rsidRPr="000C1EA6">
              <w:rPr>
                <w:b/>
                <w:sz w:val="20"/>
                <w:szCs w:val="20"/>
                <w:lang w:eastAsia="cs-CZ"/>
              </w:rPr>
              <w:t>55,6</w:t>
            </w:r>
            <w:r w:rsidR="00F93571" w:rsidRPr="000C1EA6">
              <w:rPr>
                <w:b/>
                <w:sz w:val="20"/>
                <w:szCs w:val="20"/>
                <w:lang w:eastAsia="cs-CZ"/>
              </w:rPr>
              <w:t xml:space="preserve"> </w:t>
            </w:r>
            <w:r w:rsidRPr="000C1EA6">
              <w:rPr>
                <w:b/>
                <w:sz w:val="20"/>
                <w:szCs w:val="20"/>
                <w:lang w:eastAsia="cs-CZ"/>
              </w:rPr>
              <w:t>%</w:t>
            </w:r>
          </w:p>
        </w:tc>
        <w:tc>
          <w:tcPr>
            <w:tcW w:w="1210" w:type="dxa"/>
            <w:tcBorders>
              <w:top w:val="nil"/>
              <w:left w:val="nil"/>
              <w:bottom w:val="single" w:sz="4" w:space="0" w:color="AEAEAE"/>
              <w:right w:val="single" w:sz="4" w:space="0" w:color="auto"/>
            </w:tcBorders>
            <w:shd w:val="clear" w:color="auto" w:fill="auto"/>
            <w:noWrap/>
            <w:vAlign w:val="center"/>
            <w:hideMark/>
          </w:tcPr>
          <w:p w:rsidR="00E75770" w:rsidRPr="000C1EA6" w:rsidRDefault="00E75770" w:rsidP="00E01698">
            <w:pPr>
              <w:rPr>
                <w:b/>
                <w:sz w:val="20"/>
                <w:szCs w:val="20"/>
                <w:lang w:eastAsia="cs-CZ"/>
              </w:rPr>
            </w:pPr>
            <w:r w:rsidRPr="000C1EA6">
              <w:rPr>
                <w:b/>
                <w:sz w:val="20"/>
                <w:szCs w:val="20"/>
                <w:lang w:eastAsia="cs-CZ"/>
              </w:rPr>
              <w:t>48,6</w:t>
            </w:r>
            <w:r w:rsidR="00F93571" w:rsidRPr="000C1EA6">
              <w:rPr>
                <w:b/>
                <w:sz w:val="20"/>
                <w:szCs w:val="20"/>
                <w:lang w:eastAsia="cs-CZ"/>
              </w:rPr>
              <w:t xml:space="preserve"> </w:t>
            </w:r>
            <w:r w:rsidRPr="000C1EA6">
              <w:rPr>
                <w:b/>
                <w:sz w:val="20"/>
                <w:szCs w:val="20"/>
                <w:lang w:eastAsia="cs-CZ"/>
              </w:rPr>
              <w:t>%</w:t>
            </w:r>
          </w:p>
        </w:tc>
      </w:tr>
      <w:tr w:rsidR="00E75770" w:rsidRPr="00CF225B" w:rsidTr="001545FF">
        <w:trPr>
          <w:trHeight w:val="284"/>
        </w:trPr>
        <w:tc>
          <w:tcPr>
            <w:tcW w:w="5442"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0C1EA6" w:rsidRDefault="00E75770" w:rsidP="00E01698">
            <w:pPr>
              <w:rPr>
                <w:sz w:val="20"/>
                <w:szCs w:val="20"/>
                <w:lang w:eastAsia="cs-CZ"/>
              </w:rPr>
            </w:pPr>
            <w:r w:rsidRPr="000C1EA6">
              <w:rPr>
                <w:sz w:val="20"/>
                <w:szCs w:val="20"/>
                <w:lang w:eastAsia="cs-CZ"/>
              </w:rPr>
              <w:t>Total</w:t>
            </w:r>
          </w:p>
        </w:tc>
        <w:tc>
          <w:tcPr>
            <w:tcW w:w="1210" w:type="dxa"/>
            <w:tcBorders>
              <w:top w:val="nil"/>
              <w:left w:val="nil"/>
              <w:bottom w:val="single" w:sz="4" w:space="0" w:color="auto"/>
              <w:right w:val="nil"/>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100,0</w:t>
            </w:r>
            <w:r w:rsidR="00F93571" w:rsidRPr="000C1EA6">
              <w:rPr>
                <w:sz w:val="20"/>
                <w:szCs w:val="20"/>
                <w:lang w:eastAsia="cs-CZ"/>
              </w:rPr>
              <w:t xml:space="preserve"> </w:t>
            </w:r>
            <w:r w:rsidRPr="000C1EA6">
              <w:rPr>
                <w:sz w:val="20"/>
                <w:szCs w:val="20"/>
                <w:lang w:eastAsia="cs-CZ"/>
              </w:rPr>
              <w:t>%</w:t>
            </w:r>
          </w:p>
        </w:tc>
        <w:tc>
          <w:tcPr>
            <w:tcW w:w="1210" w:type="dxa"/>
            <w:tcBorders>
              <w:top w:val="nil"/>
              <w:left w:val="nil"/>
              <w:bottom w:val="single" w:sz="4" w:space="0" w:color="auto"/>
              <w:right w:val="nil"/>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100,0</w:t>
            </w:r>
            <w:r w:rsidR="00F93571" w:rsidRPr="000C1EA6">
              <w:rPr>
                <w:sz w:val="20"/>
                <w:szCs w:val="20"/>
                <w:lang w:eastAsia="cs-CZ"/>
              </w:rPr>
              <w:t xml:space="preserve"> </w:t>
            </w:r>
            <w:r w:rsidRPr="000C1EA6">
              <w:rPr>
                <w:sz w:val="20"/>
                <w:szCs w:val="20"/>
                <w:lang w:eastAsia="cs-CZ"/>
              </w:rPr>
              <w:t>%</w:t>
            </w:r>
          </w:p>
        </w:tc>
        <w:tc>
          <w:tcPr>
            <w:tcW w:w="1210" w:type="dxa"/>
            <w:tcBorders>
              <w:top w:val="nil"/>
              <w:left w:val="nil"/>
              <w:bottom w:val="single" w:sz="4" w:space="0" w:color="auto"/>
              <w:right w:val="single" w:sz="4" w:space="0" w:color="auto"/>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100,0</w:t>
            </w:r>
            <w:r w:rsidR="00F93571" w:rsidRPr="000C1EA6">
              <w:rPr>
                <w:sz w:val="20"/>
                <w:szCs w:val="20"/>
                <w:lang w:eastAsia="cs-CZ"/>
              </w:rPr>
              <w:t xml:space="preserve"> </w:t>
            </w:r>
            <w:r w:rsidRPr="000C1EA6">
              <w:rPr>
                <w:sz w:val="20"/>
                <w:szCs w:val="20"/>
                <w:lang w:eastAsia="cs-CZ"/>
              </w:rPr>
              <w:t>%</w:t>
            </w:r>
          </w:p>
        </w:tc>
      </w:tr>
      <w:tr w:rsidR="00E75770" w:rsidRPr="00CF225B" w:rsidTr="001545FF">
        <w:trPr>
          <w:trHeight w:val="284"/>
        </w:trPr>
        <w:tc>
          <w:tcPr>
            <w:tcW w:w="2829" w:type="dxa"/>
            <w:vMerge w:val="restart"/>
            <w:tcBorders>
              <w:top w:val="nil"/>
              <w:left w:val="single" w:sz="4" w:space="0" w:color="auto"/>
              <w:bottom w:val="single" w:sz="4" w:space="0" w:color="AEAEAE"/>
              <w:right w:val="nil"/>
            </w:tcBorders>
            <w:shd w:val="clear" w:color="auto" w:fill="auto"/>
            <w:vAlign w:val="center"/>
            <w:hideMark/>
          </w:tcPr>
          <w:p w:rsidR="00E75770" w:rsidRPr="000C1EA6" w:rsidRDefault="00E75770" w:rsidP="00E01698">
            <w:pPr>
              <w:rPr>
                <w:sz w:val="20"/>
                <w:szCs w:val="20"/>
                <w:lang w:eastAsia="cs-CZ"/>
              </w:rPr>
            </w:pPr>
            <w:r w:rsidRPr="000C1EA6">
              <w:rPr>
                <w:sz w:val="20"/>
                <w:szCs w:val="20"/>
                <w:lang w:eastAsia="cs-CZ"/>
              </w:rPr>
              <w:t>Polarita provozní EBITDA</w:t>
            </w:r>
          </w:p>
        </w:tc>
        <w:tc>
          <w:tcPr>
            <w:tcW w:w="2613" w:type="dxa"/>
            <w:tcBorders>
              <w:top w:val="nil"/>
              <w:left w:val="nil"/>
              <w:bottom w:val="single" w:sz="4" w:space="0" w:color="AEAEAE"/>
              <w:right w:val="nil"/>
            </w:tcBorders>
            <w:shd w:val="clear" w:color="auto" w:fill="auto"/>
            <w:vAlign w:val="center"/>
            <w:hideMark/>
          </w:tcPr>
          <w:p w:rsidR="00E75770" w:rsidRPr="000C1EA6" w:rsidRDefault="00E75770" w:rsidP="00E01698">
            <w:pPr>
              <w:rPr>
                <w:sz w:val="20"/>
                <w:szCs w:val="20"/>
                <w:lang w:eastAsia="cs-CZ"/>
              </w:rPr>
            </w:pPr>
            <w:r w:rsidRPr="000C1EA6">
              <w:rPr>
                <w:sz w:val="20"/>
                <w:szCs w:val="20"/>
                <w:lang w:eastAsia="cs-CZ"/>
              </w:rPr>
              <w:t>Kladná provozní EBITDA</w:t>
            </w:r>
          </w:p>
        </w:tc>
        <w:tc>
          <w:tcPr>
            <w:tcW w:w="1210" w:type="dxa"/>
            <w:tcBorders>
              <w:top w:val="single" w:sz="4" w:space="0" w:color="152935"/>
              <w:left w:val="nil"/>
              <w:bottom w:val="single" w:sz="4" w:space="0" w:color="AEAEAE"/>
              <w:right w:val="nil"/>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24,1</w:t>
            </w:r>
            <w:r w:rsidR="00F93571" w:rsidRPr="000C1EA6">
              <w:rPr>
                <w:sz w:val="20"/>
                <w:szCs w:val="20"/>
                <w:lang w:eastAsia="cs-CZ"/>
              </w:rPr>
              <w:t xml:space="preserve"> </w:t>
            </w:r>
            <w:r w:rsidRPr="000C1EA6">
              <w:rPr>
                <w:sz w:val="20"/>
                <w:szCs w:val="20"/>
                <w:lang w:eastAsia="cs-CZ"/>
              </w:rPr>
              <w:t>%</w:t>
            </w:r>
          </w:p>
        </w:tc>
        <w:tc>
          <w:tcPr>
            <w:tcW w:w="1210" w:type="dxa"/>
            <w:tcBorders>
              <w:top w:val="single" w:sz="4" w:space="0" w:color="152935"/>
              <w:left w:val="nil"/>
              <w:bottom w:val="single" w:sz="4" w:space="0" w:color="AEAEAE"/>
              <w:right w:val="nil"/>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43,7</w:t>
            </w:r>
            <w:r w:rsidR="00F93571" w:rsidRPr="000C1EA6">
              <w:rPr>
                <w:sz w:val="20"/>
                <w:szCs w:val="20"/>
                <w:lang w:eastAsia="cs-CZ"/>
              </w:rPr>
              <w:t xml:space="preserve"> </w:t>
            </w:r>
            <w:r w:rsidRPr="000C1EA6">
              <w:rPr>
                <w:sz w:val="20"/>
                <w:szCs w:val="20"/>
                <w:lang w:eastAsia="cs-CZ"/>
              </w:rPr>
              <w:t>%</w:t>
            </w:r>
          </w:p>
        </w:tc>
        <w:tc>
          <w:tcPr>
            <w:tcW w:w="121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52,2</w:t>
            </w:r>
            <w:r w:rsidR="00F93571" w:rsidRPr="000C1EA6">
              <w:rPr>
                <w:sz w:val="20"/>
                <w:szCs w:val="20"/>
                <w:lang w:eastAsia="cs-CZ"/>
              </w:rPr>
              <w:t xml:space="preserve"> </w:t>
            </w:r>
            <w:r w:rsidRPr="000C1EA6">
              <w:rPr>
                <w:sz w:val="20"/>
                <w:szCs w:val="20"/>
                <w:lang w:eastAsia="cs-CZ"/>
              </w:rPr>
              <w:t>%</w:t>
            </w:r>
          </w:p>
        </w:tc>
      </w:tr>
      <w:tr w:rsidR="00E75770" w:rsidRPr="00CF225B" w:rsidTr="001545FF">
        <w:trPr>
          <w:trHeight w:val="284"/>
        </w:trPr>
        <w:tc>
          <w:tcPr>
            <w:tcW w:w="2829" w:type="dxa"/>
            <w:vMerge/>
            <w:tcBorders>
              <w:top w:val="nil"/>
              <w:left w:val="single" w:sz="4" w:space="0" w:color="auto"/>
              <w:bottom w:val="single" w:sz="4" w:space="0" w:color="AEAEAE"/>
              <w:right w:val="nil"/>
            </w:tcBorders>
            <w:vAlign w:val="center"/>
            <w:hideMark/>
          </w:tcPr>
          <w:p w:rsidR="00E75770" w:rsidRPr="000C1EA6" w:rsidRDefault="00E75770" w:rsidP="00E01698">
            <w:pPr>
              <w:rPr>
                <w:sz w:val="20"/>
                <w:szCs w:val="20"/>
                <w:lang w:eastAsia="cs-CZ"/>
              </w:rPr>
            </w:pPr>
          </w:p>
        </w:tc>
        <w:tc>
          <w:tcPr>
            <w:tcW w:w="2613" w:type="dxa"/>
            <w:tcBorders>
              <w:top w:val="nil"/>
              <w:left w:val="nil"/>
              <w:bottom w:val="single" w:sz="4" w:space="0" w:color="AEAEAE"/>
              <w:right w:val="nil"/>
            </w:tcBorders>
            <w:shd w:val="clear" w:color="auto" w:fill="auto"/>
            <w:vAlign w:val="center"/>
            <w:hideMark/>
          </w:tcPr>
          <w:p w:rsidR="00E75770" w:rsidRPr="000C1EA6" w:rsidRDefault="00E75770" w:rsidP="00E01698">
            <w:pPr>
              <w:rPr>
                <w:b/>
                <w:sz w:val="20"/>
                <w:szCs w:val="20"/>
                <w:lang w:eastAsia="cs-CZ"/>
              </w:rPr>
            </w:pPr>
            <w:r w:rsidRPr="000C1EA6">
              <w:rPr>
                <w:b/>
                <w:sz w:val="20"/>
                <w:szCs w:val="20"/>
                <w:lang w:eastAsia="cs-CZ"/>
              </w:rPr>
              <w:t>Záporná provozní EBITDA</w:t>
            </w:r>
          </w:p>
        </w:tc>
        <w:tc>
          <w:tcPr>
            <w:tcW w:w="1210" w:type="dxa"/>
            <w:tcBorders>
              <w:top w:val="nil"/>
              <w:left w:val="nil"/>
              <w:bottom w:val="single" w:sz="4" w:space="0" w:color="AEAEAE"/>
              <w:right w:val="nil"/>
            </w:tcBorders>
            <w:shd w:val="clear" w:color="auto" w:fill="auto"/>
            <w:noWrap/>
            <w:vAlign w:val="center"/>
            <w:hideMark/>
          </w:tcPr>
          <w:p w:rsidR="00E75770" w:rsidRPr="000C1EA6" w:rsidRDefault="00E75770" w:rsidP="00E01698">
            <w:pPr>
              <w:rPr>
                <w:b/>
                <w:sz w:val="20"/>
                <w:szCs w:val="20"/>
                <w:lang w:eastAsia="cs-CZ"/>
              </w:rPr>
            </w:pPr>
            <w:r w:rsidRPr="000C1EA6">
              <w:rPr>
                <w:b/>
                <w:sz w:val="20"/>
                <w:szCs w:val="20"/>
                <w:lang w:eastAsia="cs-CZ"/>
              </w:rPr>
              <w:t>75,9</w:t>
            </w:r>
            <w:r w:rsidR="00F93571" w:rsidRPr="000C1EA6">
              <w:rPr>
                <w:b/>
                <w:sz w:val="20"/>
                <w:szCs w:val="20"/>
                <w:lang w:eastAsia="cs-CZ"/>
              </w:rPr>
              <w:t xml:space="preserve"> </w:t>
            </w:r>
            <w:r w:rsidRPr="000C1EA6">
              <w:rPr>
                <w:b/>
                <w:sz w:val="20"/>
                <w:szCs w:val="20"/>
                <w:lang w:eastAsia="cs-CZ"/>
              </w:rPr>
              <w:t>%</w:t>
            </w:r>
          </w:p>
        </w:tc>
        <w:tc>
          <w:tcPr>
            <w:tcW w:w="1210" w:type="dxa"/>
            <w:tcBorders>
              <w:top w:val="nil"/>
              <w:left w:val="nil"/>
              <w:bottom w:val="single" w:sz="4" w:space="0" w:color="AEAEAE"/>
              <w:right w:val="nil"/>
            </w:tcBorders>
            <w:shd w:val="clear" w:color="auto" w:fill="auto"/>
            <w:noWrap/>
            <w:vAlign w:val="center"/>
            <w:hideMark/>
          </w:tcPr>
          <w:p w:rsidR="00E75770" w:rsidRPr="000C1EA6" w:rsidRDefault="00E75770" w:rsidP="00E01698">
            <w:pPr>
              <w:rPr>
                <w:b/>
                <w:sz w:val="20"/>
                <w:szCs w:val="20"/>
                <w:lang w:eastAsia="cs-CZ"/>
              </w:rPr>
            </w:pPr>
            <w:r w:rsidRPr="000C1EA6">
              <w:rPr>
                <w:b/>
                <w:sz w:val="20"/>
                <w:szCs w:val="20"/>
                <w:lang w:eastAsia="cs-CZ"/>
              </w:rPr>
              <w:t>56,3</w:t>
            </w:r>
            <w:r w:rsidR="00F93571" w:rsidRPr="000C1EA6">
              <w:rPr>
                <w:b/>
                <w:sz w:val="20"/>
                <w:szCs w:val="20"/>
                <w:lang w:eastAsia="cs-CZ"/>
              </w:rPr>
              <w:t xml:space="preserve"> </w:t>
            </w:r>
            <w:r w:rsidRPr="000C1EA6">
              <w:rPr>
                <w:b/>
                <w:sz w:val="20"/>
                <w:szCs w:val="20"/>
                <w:lang w:eastAsia="cs-CZ"/>
              </w:rPr>
              <w:t>%</w:t>
            </w:r>
          </w:p>
        </w:tc>
        <w:tc>
          <w:tcPr>
            <w:tcW w:w="1210" w:type="dxa"/>
            <w:tcBorders>
              <w:top w:val="nil"/>
              <w:left w:val="nil"/>
              <w:bottom w:val="single" w:sz="4" w:space="0" w:color="AEAEAE"/>
              <w:right w:val="single" w:sz="4" w:space="0" w:color="auto"/>
            </w:tcBorders>
            <w:shd w:val="clear" w:color="auto" w:fill="auto"/>
            <w:noWrap/>
            <w:vAlign w:val="center"/>
            <w:hideMark/>
          </w:tcPr>
          <w:p w:rsidR="00E75770" w:rsidRPr="000C1EA6" w:rsidRDefault="00E75770" w:rsidP="00E01698">
            <w:pPr>
              <w:rPr>
                <w:b/>
                <w:sz w:val="20"/>
                <w:szCs w:val="20"/>
                <w:lang w:eastAsia="cs-CZ"/>
              </w:rPr>
            </w:pPr>
            <w:r w:rsidRPr="000C1EA6">
              <w:rPr>
                <w:b/>
                <w:sz w:val="20"/>
                <w:szCs w:val="20"/>
                <w:lang w:eastAsia="cs-CZ"/>
              </w:rPr>
              <w:t>47,8</w:t>
            </w:r>
            <w:r w:rsidR="00F93571" w:rsidRPr="000C1EA6">
              <w:rPr>
                <w:b/>
                <w:sz w:val="20"/>
                <w:szCs w:val="20"/>
                <w:lang w:eastAsia="cs-CZ"/>
              </w:rPr>
              <w:t xml:space="preserve"> </w:t>
            </w:r>
            <w:r w:rsidRPr="000C1EA6">
              <w:rPr>
                <w:b/>
                <w:sz w:val="20"/>
                <w:szCs w:val="20"/>
                <w:lang w:eastAsia="cs-CZ"/>
              </w:rPr>
              <w:t>%</w:t>
            </w:r>
          </w:p>
        </w:tc>
      </w:tr>
      <w:tr w:rsidR="00E75770" w:rsidRPr="00CF225B" w:rsidTr="001545FF">
        <w:trPr>
          <w:trHeight w:val="284"/>
        </w:trPr>
        <w:tc>
          <w:tcPr>
            <w:tcW w:w="5442"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0C1EA6" w:rsidRDefault="00E75770" w:rsidP="00E01698">
            <w:pPr>
              <w:rPr>
                <w:sz w:val="20"/>
                <w:szCs w:val="20"/>
                <w:lang w:eastAsia="cs-CZ"/>
              </w:rPr>
            </w:pPr>
            <w:r w:rsidRPr="000C1EA6">
              <w:rPr>
                <w:sz w:val="20"/>
                <w:szCs w:val="20"/>
                <w:lang w:eastAsia="cs-CZ"/>
              </w:rPr>
              <w:t>Total</w:t>
            </w:r>
          </w:p>
        </w:tc>
        <w:tc>
          <w:tcPr>
            <w:tcW w:w="1210" w:type="dxa"/>
            <w:tcBorders>
              <w:top w:val="nil"/>
              <w:left w:val="nil"/>
              <w:bottom w:val="single" w:sz="4" w:space="0" w:color="auto"/>
              <w:right w:val="nil"/>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100,0</w:t>
            </w:r>
            <w:r w:rsidR="00F93571" w:rsidRPr="000C1EA6">
              <w:rPr>
                <w:sz w:val="20"/>
                <w:szCs w:val="20"/>
                <w:lang w:eastAsia="cs-CZ"/>
              </w:rPr>
              <w:t xml:space="preserve"> </w:t>
            </w:r>
            <w:r w:rsidRPr="000C1EA6">
              <w:rPr>
                <w:sz w:val="20"/>
                <w:szCs w:val="20"/>
                <w:lang w:eastAsia="cs-CZ"/>
              </w:rPr>
              <w:t>%</w:t>
            </w:r>
          </w:p>
        </w:tc>
        <w:tc>
          <w:tcPr>
            <w:tcW w:w="1210" w:type="dxa"/>
            <w:tcBorders>
              <w:top w:val="nil"/>
              <w:left w:val="nil"/>
              <w:bottom w:val="single" w:sz="4" w:space="0" w:color="auto"/>
              <w:right w:val="nil"/>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100,0</w:t>
            </w:r>
            <w:r w:rsidR="00F93571" w:rsidRPr="000C1EA6">
              <w:rPr>
                <w:sz w:val="20"/>
                <w:szCs w:val="20"/>
                <w:lang w:eastAsia="cs-CZ"/>
              </w:rPr>
              <w:t xml:space="preserve"> </w:t>
            </w:r>
            <w:r w:rsidRPr="000C1EA6">
              <w:rPr>
                <w:sz w:val="20"/>
                <w:szCs w:val="20"/>
                <w:lang w:eastAsia="cs-CZ"/>
              </w:rPr>
              <w:t>%</w:t>
            </w:r>
          </w:p>
        </w:tc>
        <w:tc>
          <w:tcPr>
            <w:tcW w:w="1210" w:type="dxa"/>
            <w:tcBorders>
              <w:top w:val="nil"/>
              <w:left w:val="nil"/>
              <w:bottom w:val="single" w:sz="4" w:space="0" w:color="auto"/>
              <w:right w:val="single" w:sz="4" w:space="0" w:color="auto"/>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100,0</w:t>
            </w:r>
            <w:r w:rsidR="00F93571" w:rsidRPr="000C1EA6">
              <w:rPr>
                <w:sz w:val="20"/>
                <w:szCs w:val="20"/>
                <w:lang w:eastAsia="cs-CZ"/>
              </w:rPr>
              <w:t xml:space="preserve"> </w:t>
            </w:r>
            <w:r w:rsidRPr="000C1EA6">
              <w:rPr>
                <w:sz w:val="20"/>
                <w:szCs w:val="20"/>
                <w:lang w:eastAsia="cs-CZ"/>
              </w:rPr>
              <w:t>%</w:t>
            </w:r>
          </w:p>
        </w:tc>
      </w:tr>
      <w:tr w:rsidR="00E75770" w:rsidRPr="00CF225B" w:rsidTr="001545FF">
        <w:trPr>
          <w:trHeight w:val="284"/>
        </w:trPr>
        <w:tc>
          <w:tcPr>
            <w:tcW w:w="2829" w:type="dxa"/>
            <w:vMerge w:val="restart"/>
            <w:tcBorders>
              <w:top w:val="nil"/>
              <w:left w:val="single" w:sz="4" w:space="0" w:color="auto"/>
              <w:bottom w:val="single" w:sz="4" w:space="0" w:color="AEAEAE"/>
              <w:right w:val="nil"/>
            </w:tcBorders>
            <w:shd w:val="clear" w:color="auto" w:fill="auto"/>
            <w:vAlign w:val="center"/>
            <w:hideMark/>
          </w:tcPr>
          <w:p w:rsidR="00E75770" w:rsidRPr="000C1EA6" w:rsidRDefault="00E75770" w:rsidP="00E01698">
            <w:pPr>
              <w:rPr>
                <w:sz w:val="20"/>
                <w:szCs w:val="20"/>
                <w:lang w:eastAsia="cs-CZ"/>
              </w:rPr>
            </w:pPr>
            <w:r w:rsidRPr="000C1EA6">
              <w:rPr>
                <w:sz w:val="20"/>
                <w:szCs w:val="20"/>
                <w:lang w:eastAsia="cs-CZ"/>
              </w:rPr>
              <w:t>Polarita EBITDA</w:t>
            </w:r>
          </w:p>
        </w:tc>
        <w:tc>
          <w:tcPr>
            <w:tcW w:w="2613" w:type="dxa"/>
            <w:tcBorders>
              <w:top w:val="nil"/>
              <w:left w:val="nil"/>
              <w:bottom w:val="single" w:sz="4" w:space="0" w:color="AEAEAE"/>
              <w:right w:val="nil"/>
            </w:tcBorders>
            <w:shd w:val="clear" w:color="auto" w:fill="auto"/>
            <w:vAlign w:val="center"/>
            <w:hideMark/>
          </w:tcPr>
          <w:p w:rsidR="00E75770" w:rsidRPr="000C1EA6" w:rsidRDefault="00E75770" w:rsidP="00E01698">
            <w:pPr>
              <w:rPr>
                <w:sz w:val="20"/>
                <w:szCs w:val="20"/>
                <w:lang w:eastAsia="cs-CZ"/>
              </w:rPr>
            </w:pPr>
            <w:r w:rsidRPr="000C1EA6">
              <w:rPr>
                <w:sz w:val="20"/>
                <w:szCs w:val="20"/>
                <w:lang w:eastAsia="cs-CZ"/>
              </w:rPr>
              <w:t>Kladná EBITDA</w:t>
            </w:r>
          </w:p>
        </w:tc>
        <w:tc>
          <w:tcPr>
            <w:tcW w:w="1210" w:type="dxa"/>
            <w:tcBorders>
              <w:top w:val="single" w:sz="4" w:space="0" w:color="152935"/>
              <w:left w:val="nil"/>
              <w:bottom w:val="single" w:sz="4" w:space="0" w:color="AEAEAE"/>
              <w:right w:val="nil"/>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26,8</w:t>
            </w:r>
            <w:r w:rsidR="00F93571" w:rsidRPr="000C1EA6">
              <w:rPr>
                <w:sz w:val="20"/>
                <w:szCs w:val="20"/>
                <w:lang w:eastAsia="cs-CZ"/>
              </w:rPr>
              <w:t xml:space="preserve"> </w:t>
            </w:r>
            <w:r w:rsidRPr="000C1EA6">
              <w:rPr>
                <w:sz w:val="20"/>
                <w:szCs w:val="20"/>
                <w:lang w:eastAsia="cs-CZ"/>
              </w:rPr>
              <w:t>%</w:t>
            </w:r>
          </w:p>
        </w:tc>
        <w:tc>
          <w:tcPr>
            <w:tcW w:w="1210" w:type="dxa"/>
            <w:tcBorders>
              <w:top w:val="single" w:sz="4" w:space="0" w:color="152935"/>
              <w:left w:val="nil"/>
              <w:bottom w:val="single" w:sz="4" w:space="0" w:color="AEAEAE"/>
              <w:right w:val="nil"/>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45,1</w:t>
            </w:r>
            <w:r w:rsidR="00F93571" w:rsidRPr="000C1EA6">
              <w:rPr>
                <w:sz w:val="20"/>
                <w:szCs w:val="20"/>
                <w:lang w:eastAsia="cs-CZ"/>
              </w:rPr>
              <w:t xml:space="preserve"> </w:t>
            </w:r>
            <w:r w:rsidRPr="000C1EA6">
              <w:rPr>
                <w:sz w:val="20"/>
                <w:szCs w:val="20"/>
                <w:lang w:eastAsia="cs-CZ"/>
              </w:rPr>
              <w:t>%</w:t>
            </w:r>
          </w:p>
        </w:tc>
        <w:tc>
          <w:tcPr>
            <w:tcW w:w="121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54,3</w:t>
            </w:r>
            <w:r w:rsidR="00F93571" w:rsidRPr="000C1EA6">
              <w:rPr>
                <w:sz w:val="20"/>
                <w:szCs w:val="20"/>
                <w:lang w:eastAsia="cs-CZ"/>
              </w:rPr>
              <w:t xml:space="preserve"> </w:t>
            </w:r>
            <w:r w:rsidRPr="000C1EA6">
              <w:rPr>
                <w:sz w:val="20"/>
                <w:szCs w:val="20"/>
                <w:lang w:eastAsia="cs-CZ"/>
              </w:rPr>
              <w:t>%</w:t>
            </w:r>
          </w:p>
        </w:tc>
      </w:tr>
      <w:tr w:rsidR="00E75770" w:rsidRPr="00CF225B" w:rsidTr="001545FF">
        <w:trPr>
          <w:trHeight w:val="284"/>
        </w:trPr>
        <w:tc>
          <w:tcPr>
            <w:tcW w:w="2829" w:type="dxa"/>
            <w:vMerge/>
            <w:tcBorders>
              <w:top w:val="nil"/>
              <w:left w:val="single" w:sz="4" w:space="0" w:color="auto"/>
              <w:bottom w:val="single" w:sz="4" w:space="0" w:color="AEAEAE"/>
              <w:right w:val="nil"/>
            </w:tcBorders>
            <w:vAlign w:val="center"/>
            <w:hideMark/>
          </w:tcPr>
          <w:p w:rsidR="00E75770" w:rsidRPr="000C1EA6" w:rsidRDefault="00E75770" w:rsidP="00E01698">
            <w:pPr>
              <w:rPr>
                <w:sz w:val="20"/>
                <w:szCs w:val="20"/>
                <w:lang w:eastAsia="cs-CZ"/>
              </w:rPr>
            </w:pPr>
          </w:p>
        </w:tc>
        <w:tc>
          <w:tcPr>
            <w:tcW w:w="2613" w:type="dxa"/>
            <w:tcBorders>
              <w:top w:val="nil"/>
              <w:left w:val="nil"/>
              <w:bottom w:val="single" w:sz="4" w:space="0" w:color="AEAEAE"/>
              <w:right w:val="nil"/>
            </w:tcBorders>
            <w:shd w:val="clear" w:color="auto" w:fill="auto"/>
            <w:vAlign w:val="center"/>
            <w:hideMark/>
          </w:tcPr>
          <w:p w:rsidR="00E75770" w:rsidRPr="000C1EA6" w:rsidRDefault="00E75770" w:rsidP="00E01698">
            <w:pPr>
              <w:rPr>
                <w:b/>
                <w:sz w:val="20"/>
                <w:szCs w:val="20"/>
                <w:lang w:eastAsia="cs-CZ"/>
              </w:rPr>
            </w:pPr>
            <w:r w:rsidRPr="000C1EA6">
              <w:rPr>
                <w:b/>
                <w:sz w:val="20"/>
                <w:szCs w:val="20"/>
                <w:lang w:eastAsia="cs-CZ"/>
              </w:rPr>
              <w:t>Záporná EBITDA</w:t>
            </w:r>
          </w:p>
        </w:tc>
        <w:tc>
          <w:tcPr>
            <w:tcW w:w="1210" w:type="dxa"/>
            <w:tcBorders>
              <w:top w:val="nil"/>
              <w:left w:val="nil"/>
              <w:bottom w:val="single" w:sz="4" w:space="0" w:color="AEAEAE"/>
              <w:right w:val="nil"/>
            </w:tcBorders>
            <w:shd w:val="clear" w:color="auto" w:fill="auto"/>
            <w:noWrap/>
            <w:vAlign w:val="center"/>
            <w:hideMark/>
          </w:tcPr>
          <w:p w:rsidR="00E75770" w:rsidRPr="000C1EA6" w:rsidRDefault="00E75770" w:rsidP="00E01698">
            <w:pPr>
              <w:rPr>
                <w:b/>
                <w:sz w:val="20"/>
                <w:szCs w:val="20"/>
                <w:lang w:eastAsia="cs-CZ"/>
              </w:rPr>
            </w:pPr>
            <w:r w:rsidRPr="000C1EA6">
              <w:rPr>
                <w:b/>
                <w:sz w:val="20"/>
                <w:szCs w:val="20"/>
                <w:lang w:eastAsia="cs-CZ"/>
              </w:rPr>
              <w:t>73,2</w:t>
            </w:r>
            <w:r w:rsidR="00F93571" w:rsidRPr="000C1EA6">
              <w:rPr>
                <w:b/>
                <w:sz w:val="20"/>
                <w:szCs w:val="20"/>
                <w:lang w:eastAsia="cs-CZ"/>
              </w:rPr>
              <w:t xml:space="preserve"> </w:t>
            </w:r>
            <w:r w:rsidRPr="000C1EA6">
              <w:rPr>
                <w:b/>
                <w:sz w:val="20"/>
                <w:szCs w:val="20"/>
                <w:lang w:eastAsia="cs-CZ"/>
              </w:rPr>
              <w:t>%</w:t>
            </w:r>
          </w:p>
        </w:tc>
        <w:tc>
          <w:tcPr>
            <w:tcW w:w="1210" w:type="dxa"/>
            <w:tcBorders>
              <w:top w:val="nil"/>
              <w:left w:val="nil"/>
              <w:bottom w:val="single" w:sz="4" w:space="0" w:color="AEAEAE"/>
              <w:right w:val="nil"/>
            </w:tcBorders>
            <w:shd w:val="clear" w:color="auto" w:fill="auto"/>
            <w:noWrap/>
            <w:vAlign w:val="center"/>
            <w:hideMark/>
          </w:tcPr>
          <w:p w:rsidR="00E75770" w:rsidRPr="000C1EA6" w:rsidRDefault="00E75770" w:rsidP="00E01698">
            <w:pPr>
              <w:rPr>
                <w:b/>
                <w:sz w:val="20"/>
                <w:szCs w:val="20"/>
                <w:lang w:eastAsia="cs-CZ"/>
              </w:rPr>
            </w:pPr>
            <w:r w:rsidRPr="000C1EA6">
              <w:rPr>
                <w:b/>
                <w:sz w:val="20"/>
                <w:szCs w:val="20"/>
                <w:lang w:eastAsia="cs-CZ"/>
              </w:rPr>
              <w:t>54,9</w:t>
            </w:r>
            <w:r w:rsidR="00F93571" w:rsidRPr="000C1EA6">
              <w:rPr>
                <w:b/>
                <w:sz w:val="20"/>
                <w:szCs w:val="20"/>
                <w:lang w:eastAsia="cs-CZ"/>
              </w:rPr>
              <w:t xml:space="preserve"> </w:t>
            </w:r>
            <w:r w:rsidRPr="000C1EA6">
              <w:rPr>
                <w:b/>
                <w:sz w:val="20"/>
                <w:szCs w:val="20"/>
                <w:lang w:eastAsia="cs-CZ"/>
              </w:rPr>
              <w:t>%</w:t>
            </w:r>
          </w:p>
        </w:tc>
        <w:tc>
          <w:tcPr>
            <w:tcW w:w="1210" w:type="dxa"/>
            <w:tcBorders>
              <w:top w:val="nil"/>
              <w:left w:val="nil"/>
              <w:bottom w:val="single" w:sz="4" w:space="0" w:color="AEAEAE"/>
              <w:right w:val="single" w:sz="4" w:space="0" w:color="auto"/>
            </w:tcBorders>
            <w:shd w:val="clear" w:color="auto" w:fill="auto"/>
            <w:noWrap/>
            <w:vAlign w:val="center"/>
            <w:hideMark/>
          </w:tcPr>
          <w:p w:rsidR="00E75770" w:rsidRPr="000C1EA6" w:rsidRDefault="00E75770" w:rsidP="00E01698">
            <w:pPr>
              <w:rPr>
                <w:b/>
                <w:sz w:val="20"/>
                <w:szCs w:val="20"/>
                <w:lang w:eastAsia="cs-CZ"/>
              </w:rPr>
            </w:pPr>
            <w:r w:rsidRPr="000C1EA6">
              <w:rPr>
                <w:b/>
                <w:sz w:val="20"/>
                <w:szCs w:val="20"/>
                <w:lang w:eastAsia="cs-CZ"/>
              </w:rPr>
              <w:t>45,7</w:t>
            </w:r>
            <w:r w:rsidR="00F93571" w:rsidRPr="000C1EA6">
              <w:rPr>
                <w:b/>
                <w:sz w:val="20"/>
                <w:szCs w:val="20"/>
                <w:lang w:eastAsia="cs-CZ"/>
              </w:rPr>
              <w:t xml:space="preserve"> </w:t>
            </w:r>
            <w:r w:rsidRPr="000C1EA6">
              <w:rPr>
                <w:b/>
                <w:sz w:val="20"/>
                <w:szCs w:val="20"/>
                <w:lang w:eastAsia="cs-CZ"/>
              </w:rPr>
              <w:t>%</w:t>
            </w:r>
          </w:p>
        </w:tc>
      </w:tr>
      <w:tr w:rsidR="00E75770" w:rsidRPr="00CF225B" w:rsidTr="001545FF">
        <w:trPr>
          <w:trHeight w:val="284"/>
        </w:trPr>
        <w:tc>
          <w:tcPr>
            <w:tcW w:w="5442"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0C1EA6" w:rsidRDefault="00E75770" w:rsidP="00E01698">
            <w:pPr>
              <w:rPr>
                <w:sz w:val="20"/>
                <w:szCs w:val="20"/>
                <w:lang w:eastAsia="cs-CZ"/>
              </w:rPr>
            </w:pPr>
            <w:r w:rsidRPr="000C1EA6">
              <w:rPr>
                <w:sz w:val="20"/>
                <w:szCs w:val="20"/>
                <w:lang w:eastAsia="cs-CZ"/>
              </w:rPr>
              <w:t>Total</w:t>
            </w:r>
          </w:p>
        </w:tc>
        <w:tc>
          <w:tcPr>
            <w:tcW w:w="1210" w:type="dxa"/>
            <w:tcBorders>
              <w:top w:val="nil"/>
              <w:left w:val="nil"/>
              <w:bottom w:val="single" w:sz="4" w:space="0" w:color="auto"/>
              <w:right w:val="nil"/>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100,0</w:t>
            </w:r>
            <w:r w:rsidR="00F93571" w:rsidRPr="000C1EA6">
              <w:rPr>
                <w:sz w:val="20"/>
                <w:szCs w:val="20"/>
                <w:lang w:eastAsia="cs-CZ"/>
              </w:rPr>
              <w:t xml:space="preserve"> </w:t>
            </w:r>
            <w:r w:rsidRPr="000C1EA6">
              <w:rPr>
                <w:sz w:val="20"/>
                <w:szCs w:val="20"/>
                <w:lang w:eastAsia="cs-CZ"/>
              </w:rPr>
              <w:t>%</w:t>
            </w:r>
          </w:p>
        </w:tc>
        <w:tc>
          <w:tcPr>
            <w:tcW w:w="1210" w:type="dxa"/>
            <w:tcBorders>
              <w:top w:val="nil"/>
              <w:left w:val="nil"/>
              <w:bottom w:val="single" w:sz="4" w:space="0" w:color="auto"/>
              <w:right w:val="nil"/>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100,0</w:t>
            </w:r>
            <w:r w:rsidR="00F93571" w:rsidRPr="000C1EA6">
              <w:rPr>
                <w:sz w:val="20"/>
                <w:szCs w:val="20"/>
                <w:lang w:eastAsia="cs-CZ"/>
              </w:rPr>
              <w:t xml:space="preserve"> </w:t>
            </w:r>
            <w:r w:rsidRPr="000C1EA6">
              <w:rPr>
                <w:sz w:val="20"/>
                <w:szCs w:val="20"/>
                <w:lang w:eastAsia="cs-CZ"/>
              </w:rPr>
              <w:t>%</w:t>
            </w:r>
          </w:p>
        </w:tc>
        <w:tc>
          <w:tcPr>
            <w:tcW w:w="1210" w:type="dxa"/>
            <w:tcBorders>
              <w:top w:val="nil"/>
              <w:left w:val="nil"/>
              <w:bottom w:val="single" w:sz="4" w:space="0" w:color="auto"/>
              <w:right w:val="single" w:sz="4" w:space="0" w:color="auto"/>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100,0</w:t>
            </w:r>
            <w:r w:rsidR="00F93571" w:rsidRPr="000C1EA6">
              <w:rPr>
                <w:sz w:val="20"/>
                <w:szCs w:val="20"/>
                <w:lang w:eastAsia="cs-CZ"/>
              </w:rPr>
              <w:t xml:space="preserve"> </w:t>
            </w:r>
            <w:r w:rsidRPr="000C1EA6">
              <w:rPr>
                <w:sz w:val="20"/>
                <w:szCs w:val="20"/>
                <w:lang w:eastAsia="cs-CZ"/>
              </w:rPr>
              <w:t>%</w:t>
            </w:r>
          </w:p>
        </w:tc>
      </w:tr>
      <w:tr w:rsidR="00E75770" w:rsidRPr="00CF225B" w:rsidTr="001545FF">
        <w:trPr>
          <w:trHeight w:val="284"/>
        </w:trPr>
        <w:tc>
          <w:tcPr>
            <w:tcW w:w="2829" w:type="dxa"/>
            <w:vMerge w:val="restart"/>
            <w:tcBorders>
              <w:top w:val="nil"/>
              <w:left w:val="single" w:sz="4" w:space="0" w:color="auto"/>
              <w:bottom w:val="single" w:sz="4" w:space="0" w:color="AEAEAE"/>
              <w:right w:val="nil"/>
            </w:tcBorders>
            <w:shd w:val="clear" w:color="auto" w:fill="auto"/>
            <w:vAlign w:val="center"/>
            <w:hideMark/>
          </w:tcPr>
          <w:p w:rsidR="00E75770" w:rsidRPr="000C1EA6" w:rsidRDefault="00E75770" w:rsidP="00E01698">
            <w:pPr>
              <w:rPr>
                <w:sz w:val="20"/>
                <w:szCs w:val="20"/>
                <w:lang w:eastAsia="cs-CZ"/>
              </w:rPr>
            </w:pPr>
            <w:r w:rsidRPr="000C1EA6">
              <w:rPr>
                <w:sz w:val="20"/>
                <w:szCs w:val="20"/>
                <w:lang w:eastAsia="cs-CZ"/>
              </w:rPr>
              <w:t>Polarita EBIT</w:t>
            </w:r>
          </w:p>
        </w:tc>
        <w:tc>
          <w:tcPr>
            <w:tcW w:w="2613" w:type="dxa"/>
            <w:tcBorders>
              <w:top w:val="nil"/>
              <w:left w:val="nil"/>
              <w:bottom w:val="single" w:sz="4" w:space="0" w:color="AEAEAE"/>
              <w:right w:val="nil"/>
            </w:tcBorders>
            <w:shd w:val="clear" w:color="auto" w:fill="auto"/>
            <w:vAlign w:val="center"/>
            <w:hideMark/>
          </w:tcPr>
          <w:p w:rsidR="00E75770" w:rsidRPr="000C1EA6" w:rsidRDefault="00E75770" w:rsidP="00E01698">
            <w:pPr>
              <w:rPr>
                <w:sz w:val="20"/>
                <w:szCs w:val="20"/>
                <w:lang w:eastAsia="cs-CZ"/>
              </w:rPr>
            </w:pPr>
            <w:r w:rsidRPr="000C1EA6">
              <w:rPr>
                <w:sz w:val="20"/>
                <w:szCs w:val="20"/>
                <w:lang w:eastAsia="cs-CZ"/>
              </w:rPr>
              <w:t>Kladný EBIT</w:t>
            </w:r>
          </w:p>
        </w:tc>
        <w:tc>
          <w:tcPr>
            <w:tcW w:w="1210" w:type="dxa"/>
            <w:tcBorders>
              <w:top w:val="single" w:sz="4" w:space="0" w:color="152935"/>
              <w:left w:val="nil"/>
              <w:bottom w:val="single" w:sz="4" w:space="0" w:color="AEAEAE"/>
              <w:right w:val="nil"/>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22,0</w:t>
            </w:r>
            <w:r w:rsidR="00F93571" w:rsidRPr="000C1EA6">
              <w:rPr>
                <w:sz w:val="20"/>
                <w:szCs w:val="20"/>
                <w:lang w:eastAsia="cs-CZ"/>
              </w:rPr>
              <w:t xml:space="preserve"> </w:t>
            </w:r>
            <w:r w:rsidRPr="000C1EA6">
              <w:rPr>
                <w:sz w:val="20"/>
                <w:szCs w:val="20"/>
                <w:lang w:eastAsia="cs-CZ"/>
              </w:rPr>
              <w:t>%</w:t>
            </w:r>
          </w:p>
        </w:tc>
        <w:tc>
          <w:tcPr>
            <w:tcW w:w="1210" w:type="dxa"/>
            <w:tcBorders>
              <w:top w:val="single" w:sz="4" w:space="0" w:color="152935"/>
              <w:left w:val="nil"/>
              <w:bottom w:val="single" w:sz="4" w:space="0" w:color="AEAEAE"/>
              <w:right w:val="nil"/>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40,3</w:t>
            </w:r>
            <w:r w:rsidR="00F93571" w:rsidRPr="000C1EA6">
              <w:rPr>
                <w:sz w:val="20"/>
                <w:szCs w:val="20"/>
                <w:lang w:eastAsia="cs-CZ"/>
              </w:rPr>
              <w:t xml:space="preserve"> </w:t>
            </w:r>
            <w:r w:rsidRPr="000C1EA6">
              <w:rPr>
                <w:sz w:val="20"/>
                <w:szCs w:val="20"/>
                <w:lang w:eastAsia="cs-CZ"/>
              </w:rPr>
              <w:t>%</w:t>
            </w:r>
          </w:p>
        </w:tc>
        <w:tc>
          <w:tcPr>
            <w:tcW w:w="121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47,7</w:t>
            </w:r>
            <w:r w:rsidR="00F93571" w:rsidRPr="000C1EA6">
              <w:rPr>
                <w:sz w:val="20"/>
                <w:szCs w:val="20"/>
                <w:lang w:eastAsia="cs-CZ"/>
              </w:rPr>
              <w:t xml:space="preserve"> </w:t>
            </w:r>
            <w:r w:rsidRPr="000C1EA6">
              <w:rPr>
                <w:sz w:val="20"/>
                <w:szCs w:val="20"/>
                <w:lang w:eastAsia="cs-CZ"/>
              </w:rPr>
              <w:t>%</w:t>
            </w:r>
          </w:p>
        </w:tc>
      </w:tr>
      <w:tr w:rsidR="00E75770" w:rsidRPr="00CF225B" w:rsidTr="001545FF">
        <w:trPr>
          <w:trHeight w:val="284"/>
        </w:trPr>
        <w:tc>
          <w:tcPr>
            <w:tcW w:w="2829" w:type="dxa"/>
            <w:vMerge/>
            <w:tcBorders>
              <w:top w:val="nil"/>
              <w:left w:val="single" w:sz="4" w:space="0" w:color="auto"/>
              <w:bottom w:val="single" w:sz="4" w:space="0" w:color="AEAEAE"/>
              <w:right w:val="nil"/>
            </w:tcBorders>
            <w:vAlign w:val="center"/>
            <w:hideMark/>
          </w:tcPr>
          <w:p w:rsidR="00E75770" w:rsidRPr="000C1EA6" w:rsidRDefault="00E75770" w:rsidP="00E01698">
            <w:pPr>
              <w:rPr>
                <w:sz w:val="20"/>
                <w:szCs w:val="20"/>
                <w:lang w:eastAsia="cs-CZ"/>
              </w:rPr>
            </w:pPr>
          </w:p>
        </w:tc>
        <w:tc>
          <w:tcPr>
            <w:tcW w:w="2613" w:type="dxa"/>
            <w:tcBorders>
              <w:top w:val="nil"/>
              <w:left w:val="nil"/>
              <w:bottom w:val="single" w:sz="4" w:space="0" w:color="AEAEAE"/>
              <w:right w:val="nil"/>
            </w:tcBorders>
            <w:shd w:val="clear" w:color="auto" w:fill="auto"/>
            <w:vAlign w:val="center"/>
            <w:hideMark/>
          </w:tcPr>
          <w:p w:rsidR="00E75770" w:rsidRPr="000C1EA6" w:rsidRDefault="00E75770" w:rsidP="00E01698">
            <w:pPr>
              <w:rPr>
                <w:b/>
                <w:sz w:val="20"/>
                <w:szCs w:val="20"/>
                <w:lang w:eastAsia="cs-CZ"/>
              </w:rPr>
            </w:pPr>
            <w:r w:rsidRPr="000C1EA6">
              <w:rPr>
                <w:b/>
                <w:sz w:val="20"/>
                <w:szCs w:val="20"/>
                <w:lang w:eastAsia="cs-CZ"/>
              </w:rPr>
              <w:t>Záporný EBIT</w:t>
            </w:r>
          </w:p>
        </w:tc>
        <w:tc>
          <w:tcPr>
            <w:tcW w:w="1210" w:type="dxa"/>
            <w:tcBorders>
              <w:top w:val="nil"/>
              <w:left w:val="nil"/>
              <w:bottom w:val="single" w:sz="4" w:space="0" w:color="AEAEAE"/>
              <w:right w:val="nil"/>
            </w:tcBorders>
            <w:shd w:val="clear" w:color="auto" w:fill="auto"/>
            <w:noWrap/>
            <w:vAlign w:val="center"/>
            <w:hideMark/>
          </w:tcPr>
          <w:p w:rsidR="00E75770" w:rsidRPr="000C1EA6" w:rsidRDefault="00E75770" w:rsidP="00E01698">
            <w:pPr>
              <w:rPr>
                <w:b/>
                <w:sz w:val="20"/>
                <w:szCs w:val="20"/>
                <w:lang w:eastAsia="cs-CZ"/>
              </w:rPr>
            </w:pPr>
            <w:r w:rsidRPr="000C1EA6">
              <w:rPr>
                <w:b/>
                <w:sz w:val="20"/>
                <w:szCs w:val="20"/>
                <w:lang w:eastAsia="cs-CZ"/>
              </w:rPr>
              <w:t>78,0</w:t>
            </w:r>
            <w:r w:rsidR="00F93571" w:rsidRPr="000C1EA6">
              <w:rPr>
                <w:b/>
                <w:sz w:val="20"/>
                <w:szCs w:val="20"/>
                <w:lang w:eastAsia="cs-CZ"/>
              </w:rPr>
              <w:t xml:space="preserve"> </w:t>
            </w:r>
            <w:r w:rsidRPr="000C1EA6">
              <w:rPr>
                <w:b/>
                <w:sz w:val="20"/>
                <w:szCs w:val="20"/>
                <w:lang w:eastAsia="cs-CZ"/>
              </w:rPr>
              <w:t>%</w:t>
            </w:r>
          </w:p>
        </w:tc>
        <w:tc>
          <w:tcPr>
            <w:tcW w:w="1210" w:type="dxa"/>
            <w:tcBorders>
              <w:top w:val="nil"/>
              <w:left w:val="nil"/>
              <w:bottom w:val="single" w:sz="4" w:space="0" w:color="AEAEAE"/>
              <w:right w:val="nil"/>
            </w:tcBorders>
            <w:shd w:val="clear" w:color="auto" w:fill="auto"/>
            <w:noWrap/>
            <w:vAlign w:val="center"/>
            <w:hideMark/>
          </w:tcPr>
          <w:p w:rsidR="00E75770" w:rsidRPr="000C1EA6" w:rsidRDefault="00E75770" w:rsidP="00E01698">
            <w:pPr>
              <w:rPr>
                <w:b/>
                <w:sz w:val="20"/>
                <w:szCs w:val="20"/>
                <w:lang w:eastAsia="cs-CZ"/>
              </w:rPr>
            </w:pPr>
            <w:r w:rsidRPr="000C1EA6">
              <w:rPr>
                <w:b/>
                <w:sz w:val="20"/>
                <w:szCs w:val="20"/>
                <w:lang w:eastAsia="cs-CZ"/>
              </w:rPr>
              <w:t>59,7</w:t>
            </w:r>
            <w:r w:rsidR="00F93571" w:rsidRPr="000C1EA6">
              <w:rPr>
                <w:b/>
                <w:sz w:val="20"/>
                <w:szCs w:val="20"/>
                <w:lang w:eastAsia="cs-CZ"/>
              </w:rPr>
              <w:t xml:space="preserve"> </w:t>
            </w:r>
            <w:r w:rsidRPr="000C1EA6">
              <w:rPr>
                <w:b/>
                <w:sz w:val="20"/>
                <w:szCs w:val="20"/>
                <w:lang w:eastAsia="cs-CZ"/>
              </w:rPr>
              <w:t>%</w:t>
            </w:r>
          </w:p>
        </w:tc>
        <w:tc>
          <w:tcPr>
            <w:tcW w:w="1210" w:type="dxa"/>
            <w:tcBorders>
              <w:top w:val="nil"/>
              <w:left w:val="nil"/>
              <w:bottom w:val="single" w:sz="4" w:space="0" w:color="AEAEAE"/>
              <w:right w:val="single" w:sz="4" w:space="0" w:color="auto"/>
            </w:tcBorders>
            <w:shd w:val="clear" w:color="auto" w:fill="auto"/>
            <w:noWrap/>
            <w:vAlign w:val="center"/>
            <w:hideMark/>
          </w:tcPr>
          <w:p w:rsidR="00E75770" w:rsidRPr="000C1EA6" w:rsidRDefault="00E75770" w:rsidP="00E01698">
            <w:pPr>
              <w:rPr>
                <w:b/>
                <w:sz w:val="20"/>
                <w:szCs w:val="20"/>
                <w:lang w:eastAsia="cs-CZ"/>
              </w:rPr>
            </w:pPr>
            <w:r w:rsidRPr="000C1EA6">
              <w:rPr>
                <w:b/>
                <w:sz w:val="20"/>
                <w:szCs w:val="20"/>
                <w:lang w:eastAsia="cs-CZ"/>
              </w:rPr>
              <w:t>52,3</w:t>
            </w:r>
            <w:r w:rsidR="00F93571" w:rsidRPr="000C1EA6">
              <w:rPr>
                <w:b/>
                <w:sz w:val="20"/>
                <w:szCs w:val="20"/>
                <w:lang w:eastAsia="cs-CZ"/>
              </w:rPr>
              <w:t xml:space="preserve"> </w:t>
            </w:r>
            <w:r w:rsidRPr="000C1EA6">
              <w:rPr>
                <w:b/>
                <w:sz w:val="20"/>
                <w:szCs w:val="20"/>
                <w:lang w:eastAsia="cs-CZ"/>
              </w:rPr>
              <w:t>%</w:t>
            </w:r>
          </w:p>
        </w:tc>
      </w:tr>
      <w:tr w:rsidR="00E75770" w:rsidRPr="00CF225B" w:rsidTr="001545FF">
        <w:trPr>
          <w:trHeight w:val="284"/>
        </w:trPr>
        <w:tc>
          <w:tcPr>
            <w:tcW w:w="5442"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0C1EA6" w:rsidRDefault="00E75770" w:rsidP="00E01698">
            <w:pPr>
              <w:rPr>
                <w:sz w:val="20"/>
                <w:szCs w:val="20"/>
                <w:lang w:eastAsia="cs-CZ"/>
              </w:rPr>
            </w:pPr>
            <w:r w:rsidRPr="000C1EA6">
              <w:rPr>
                <w:sz w:val="20"/>
                <w:szCs w:val="20"/>
                <w:lang w:eastAsia="cs-CZ"/>
              </w:rPr>
              <w:t>Total</w:t>
            </w:r>
          </w:p>
        </w:tc>
        <w:tc>
          <w:tcPr>
            <w:tcW w:w="1210" w:type="dxa"/>
            <w:tcBorders>
              <w:top w:val="nil"/>
              <w:left w:val="nil"/>
              <w:bottom w:val="single" w:sz="4" w:space="0" w:color="auto"/>
              <w:right w:val="nil"/>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100,0</w:t>
            </w:r>
            <w:r w:rsidR="00F93571" w:rsidRPr="000C1EA6">
              <w:rPr>
                <w:sz w:val="20"/>
                <w:szCs w:val="20"/>
                <w:lang w:eastAsia="cs-CZ"/>
              </w:rPr>
              <w:t xml:space="preserve"> </w:t>
            </w:r>
            <w:r w:rsidRPr="000C1EA6">
              <w:rPr>
                <w:sz w:val="20"/>
                <w:szCs w:val="20"/>
                <w:lang w:eastAsia="cs-CZ"/>
              </w:rPr>
              <w:t>%</w:t>
            </w:r>
          </w:p>
        </w:tc>
        <w:tc>
          <w:tcPr>
            <w:tcW w:w="1210" w:type="dxa"/>
            <w:tcBorders>
              <w:top w:val="nil"/>
              <w:left w:val="nil"/>
              <w:bottom w:val="single" w:sz="4" w:space="0" w:color="auto"/>
              <w:right w:val="nil"/>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100,0</w:t>
            </w:r>
            <w:r w:rsidR="00F93571" w:rsidRPr="000C1EA6">
              <w:rPr>
                <w:sz w:val="20"/>
                <w:szCs w:val="20"/>
                <w:lang w:eastAsia="cs-CZ"/>
              </w:rPr>
              <w:t xml:space="preserve"> </w:t>
            </w:r>
            <w:r w:rsidRPr="000C1EA6">
              <w:rPr>
                <w:sz w:val="20"/>
                <w:szCs w:val="20"/>
                <w:lang w:eastAsia="cs-CZ"/>
              </w:rPr>
              <w:t>%</w:t>
            </w:r>
          </w:p>
        </w:tc>
        <w:tc>
          <w:tcPr>
            <w:tcW w:w="1210" w:type="dxa"/>
            <w:tcBorders>
              <w:top w:val="nil"/>
              <w:left w:val="nil"/>
              <w:bottom w:val="single" w:sz="4" w:space="0" w:color="auto"/>
              <w:right w:val="single" w:sz="4" w:space="0" w:color="auto"/>
            </w:tcBorders>
            <w:shd w:val="clear" w:color="auto" w:fill="auto"/>
            <w:noWrap/>
            <w:vAlign w:val="center"/>
            <w:hideMark/>
          </w:tcPr>
          <w:p w:rsidR="00E75770" w:rsidRPr="000C1EA6" w:rsidRDefault="00E75770" w:rsidP="00E01698">
            <w:pPr>
              <w:rPr>
                <w:sz w:val="20"/>
                <w:szCs w:val="20"/>
                <w:lang w:eastAsia="cs-CZ"/>
              </w:rPr>
            </w:pPr>
            <w:r w:rsidRPr="000C1EA6">
              <w:rPr>
                <w:sz w:val="20"/>
                <w:szCs w:val="20"/>
                <w:lang w:eastAsia="cs-CZ"/>
              </w:rPr>
              <w:t>100,0</w:t>
            </w:r>
            <w:r w:rsidR="00F93571" w:rsidRPr="000C1EA6">
              <w:rPr>
                <w:sz w:val="20"/>
                <w:szCs w:val="20"/>
                <w:lang w:eastAsia="cs-CZ"/>
              </w:rPr>
              <w:t xml:space="preserve"> </w:t>
            </w:r>
            <w:r w:rsidRPr="000C1EA6">
              <w:rPr>
                <w:sz w:val="20"/>
                <w:szCs w:val="20"/>
                <w:lang w:eastAsia="cs-CZ"/>
              </w:rPr>
              <w:t>%</w:t>
            </w:r>
          </w:p>
        </w:tc>
      </w:tr>
    </w:tbl>
    <w:p w:rsidR="00CF225B" w:rsidRDefault="00CF225B" w:rsidP="000C1EA6"/>
    <w:p w:rsidR="0060169A" w:rsidRDefault="0060169A" w:rsidP="000C1EA6">
      <w:r w:rsidRPr="00CF225B">
        <w:t xml:space="preserve">Na úrovni tvorby zisku převažovaly kladné hodnoty ve všech třech letech před zjištěním úpadku pouze u přidané hodnoty, avšak relativní četnost kladných hodnot se s blížícím se </w:t>
      </w:r>
      <w:r w:rsidRPr="00CF225B">
        <w:lastRenderedPageBreak/>
        <w:t>úpadkem snižovala. To svědčí v průměru o stále větších potížích s krytím již samotných výrobních nákladů (výkonové spotřeby). Na všech ostatních úrovních tvorby zisku převažují rok před zjištěním úpadku hodnoty záporné. Zejména u primární EBITDA to znamená, že podniky nebyly již schopny pokrýt náklady práce (osobní náklady). Záporná primární EBITDA pak převažovala i dva roky před zjištěním úpadku a tři roky před zjištěním úpadku vykazovala kladnou hodnotu jen mírně nadpoloviční většina podniků.</w:t>
      </w:r>
    </w:p>
    <w:p w:rsidR="00E01698" w:rsidRPr="00CF225B" w:rsidRDefault="00E01698" w:rsidP="00E01698"/>
    <w:p w:rsidR="00E75770" w:rsidRPr="00FF0D08" w:rsidRDefault="009B43E3" w:rsidP="00FF0D08">
      <w:pPr>
        <w:rPr>
          <w:b/>
        </w:rPr>
      </w:pPr>
      <w:r w:rsidRPr="00FF0D08">
        <w:rPr>
          <w:b/>
        </w:rPr>
        <w:t>Polarita nutné hotovosti</w:t>
      </w:r>
    </w:p>
    <w:p w:rsidR="00FF0D08" w:rsidRPr="00FF0D08" w:rsidRDefault="00FF0D08" w:rsidP="00FF0D08"/>
    <w:p w:rsidR="001545FF" w:rsidRDefault="001545FF" w:rsidP="001545FF">
      <w:pPr>
        <w:pStyle w:val="Titulek"/>
        <w:keepNext/>
      </w:pPr>
      <w:bookmarkStart w:id="117" w:name="_Toc31054820"/>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44</w:t>
      </w:r>
      <w:r w:rsidR="00163A91">
        <w:rPr>
          <w:noProof/>
        </w:rPr>
        <w:fldChar w:fldCharType="end"/>
      </w:r>
      <w:r>
        <w:t xml:space="preserve"> Polarita nutné hotovosti</w:t>
      </w:r>
      <w:bookmarkEnd w:id="117"/>
    </w:p>
    <w:tbl>
      <w:tblPr>
        <w:tblW w:w="9072" w:type="dxa"/>
        <w:tblCellMar>
          <w:left w:w="70" w:type="dxa"/>
          <w:right w:w="70" w:type="dxa"/>
        </w:tblCellMar>
        <w:tblLook w:val="04A0"/>
      </w:tblPr>
      <w:tblGrid>
        <w:gridCol w:w="2829"/>
        <w:gridCol w:w="2613"/>
        <w:gridCol w:w="1210"/>
        <w:gridCol w:w="1210"/>
        <w:gridCol w:w="1210"/>
      </w:tblGrid>
      <w:tr w:rsidR="006A291C" w:rsidRPr="00CF225B" w:rsidTr="001545FF">
        <w:trPr>
          <w:trHeight w:val="284"/>
        </w:trPr>
        <w:tc>
          <w:tcPr>
            <w:tcW w:w="5442" w:type="dxa"/>
            <w:gridSpan w:val="2"/>
            <w:tcBorders>
              <w:top w:val="single" w:sz="4" w:space="0" w:color="auto"/>
              <w:left w:val="single" w:sz="4" w:space="0" w:color="auto"/>
              <w:bottom w:val="single" w:sz="4" w:space="0" w:color="auto"/>
              <w:right w:val="nil"/>
            </w:tcBorders>
            <w:shd w:val="clear" w:color="auto" w:fill="auto"/>
            <w:vAlign w:val="center"/>
            <w:hideMark/>
          </w:tcPr>
          <w:p w:rsidR="006A291C" w:rsidRPr="000C1EA6" w:rsidRDefault="006A291C" w:rsidP="00E01698">
            <w:pPr>
              <w:rPr>
                <w:rFonts w:eastAsia="Times New Roman" w:cs="Times New Roman"/>
                <w:sz w:val="20"/>
                <w:szCs w:val="20"/>
                <w:lang w:eastAsia="cs-CZ"/>
              </w:rPr>
            </w:pPr>
            <w:r w:rsidRPr="000C1EA6">
              <w:rPr>
                <w:rFonts w:eastAsia="Times New Roman" w:cs="Times New Roman"/>
                <w:sz w:val="20"/>
                <w:szCs w:val="20"/>
                <w:lang w:eastAsia="cs-CZ"/>
              </w:rPr>
              <w:t> </w:t>
            </w:r>
          </w:p>
        </w:tc>
        <w:tc>
          <w:tcPr>
            <w:tcW w:w="1210" w:type="dxa"/>
            <w:tcBorders>
              <w:top w:val="single" w:sz="4" w:space="0" w:color="auto"/>
              <w:left w:val="nil"/>
              <w:bottom w:val="single" w:sz="4" w:space="0" w:color="auto"/>
              <w:right w:val="nil"/>
            </w:tcBorders>
            <w:shd w:val="clear" w:color="auto" w:fill="auto"/>
            <w:vAlign w:val="center"/>
            <w:hideMark/>
          </w:tcPr>
          <w:p w:rsidR="006A291C" w:rsidRPr="000C1EA6" w:rsidRDefault="006A291C" w:rsidP="00E01698">
            <w:pPr>
              <w:rPr>
                <w:rFonts w:eastAsia="Times New Roman" w:cs="Times New Roman"/>
                <w:color w:val="264A60"/>
                <w:sz w:val="20"/>
                <w:szCs w:val="20"/>
                <w:lang w:eastAsia="cs-CZ"/>
              </w:rPr>
            </w:pPr>
            <w:r w:rsidRPr="000C1EA6">
              <w:rPr>
                <w:rFonts w:eastAsia="Times New Roman" w:cs="Times New Roman"/>
                <w:color w:val="264A60"/>
                <w:sz w:val="20"/>
                <w:szCs w:val="20"/>
                <w:lang w:eastAsia="cs-CZ"/>
              </w:rPr>
              <w:t>1 rok před úpadkem</w:t>
            </w:r>
          </w:p>
        </w:tc>
        <w:tc>
          <w:tcPr>
            <w:tcW w:w="1210" w:type="dxa"/>
            <w:tcBorders>
              <w:top w:val="single" w:sz="4" w:space="0" w:color="auto"/>
              <w:left w:val="nil"/>
              <w:bottom w:val="single" w:sz="4" w:space="0" w:color="auto"/>
              <w:right w:val="nil"/>
            </w:tcBorders>
            <w:shd w:val="clear" w:color="auto" w:fill="auto"/>
            <w:vAlign w:val="center"/>
            <w:hideMark/>
          </w:tcPr>
          <w:p w:rsidR="006A291C" w:rsidRPr="000C1EA6" w:rsidRDefault="006A291C" w:rsidP="00E01698">
            <w:pPr>
              <w:rPr>
                <w:rFonts w:eastAsia="Times New Roman" w:cs="Times New Roman"/>
                <w:color w:val="264A60"/>
                <w:sz w:val="20"/>
                <w:szCs w:val="20"/>
                <w:lang w:eastAsia="cs-CZ"/>
              </w:rPr>
            </w:pPr>
            <w:r w:rsidRPr="000C1EA6">
              <w:rPr>
                <w:rFonts w:eastAsia="Times New Roman" w:cs="Times New Roman"/>
                <w:color w:val="264A60"/>
                <w:sz w:val="20"/>
                <w:szCs w:val="20"/>
                <w:lang w:eastAsia="cs-CZ"/>
              </w:rPr>
              <w:t>2 roky před úpadkem</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6A291C" w:rsidRPr="000C1EA6" w:rsidRDefault="006A291C" w:rsidP="00E01698">
            <w:pPr>
              <w:rPr>
                <w:rFonts w:eastAsia="Times New Roman" w:cs="Times New Roman"/>
                <w:color w:val="264A60"/>
                <w:sz w:val="20"/>
                <w:szCs w:val="20"/>
                <w:lang w:eastAsia="cs-CZ"/>
              </w:rPr>
            </w:pPr>
            <w:r w:rsidRPr="000C1EA6">
              <w:rPr>
                <w:rFonts w:eastAsia="Times New Roman" w:cs="Times New Roman"/>
                <w:color w:val="264A60"/>
                <w:sz w:val="20"/>
                <w:szCs w:val="20"/>
                <w:lang w:eastAsia="cs-CZ"/>
              </w:rPr>
              <w:t>3 roky před úpadkem</w:t>
            </w:r>
          </w:p>
        </w:tc>
      </w:tr>
      <w:tr w:rsidR="006A291C" w:rsidRPr="00CF225B" w:rsidTr="001545FF">
        <w:trPr>
          <w:trHeight w:val="284"/>
        </w:trPr>
        <w:tc>
          <w:tcPr>
            <w:tcW w:w="2829" w:type="dxa"/>
            <w:vMerge w:val="restart"/>
            <w:tcBorders>
              <w:top w:val="nil"/>
              <w:left w:val="single" w:sz="4" w:space="0" w:color="auto"/>
              <w:bottom w:val="single" w:sz="4" w:space="0" w:color="AEAEAE"/>
              <w:right w:val="nil"/>
            </w:tcBorders>
            <w:shd w:val="clear" w:color="auto" w:fill="auto"/>
            <w:vAlign w:val="center"/>
            <w:hideMark/>
          </w:tcPr>
          <w:p w:rsidR="006A291C" w:rsidRPr="000C1EA6" w:rsidRDefault="006A291C" w:rsidP="00E01698">
            <w:pPr>
              <w:rPr>
                <w:rFonts w:eastAsia="Times New Roman" w:cs="Times New Roman"/>
                <w:sz w:val="20"/>
                <w:szCs w:val="20"/>
                <w:lang w:eastAsia="cs-CZ"/>
              </w:rPr>
            </w:pPr>
            <w:r w:rsidRPr="000C1EA6">
              <w:rPr>
                <w:rFonts w:eastAsia="Times New Roman" w:cs="Times New Roman"/>
                <w:sz w:val="20"/>
                <w:szCs w:val="20"/>
                <w:lang w:eastAsia="cs-CZ"/>
              </w:rPr>
              <w:t>Polarita nutné hotovosti</w:t>
            </w:r>
          </w:p>
        </w:tc>
        <w:tc>
          <w:tcPr>
            <w:tcW w:w="2613" w:type="dxa"/>
            <w:tcBorders>
              <w:top w:val="nil"/>
              <w:left w:val="nil"/>
              <w:bottom w:val="single" w:sz="4" w:space="0" w:color="AEAEAE"/>
              <w:right w:val="nil"/>
            </w:tcBorders>
            <w:shd w:val="clear" w:color="auto" w:fill="auto"/>
            <w:vAlign w:val="center"/>
            <w:hideMark/>
          </w:tcPr>
          <w:p w:rsidR="006A291C" w:rsidRPr="000C1EA6" w:rsidRDefault="006A291C" w:rsidP="00E01698">
            <w:pPr>
              <w:rPr>
                <w:rFonts w:eastAsia="Times New Roman" w:cs="Times New Roman"/>
                <w:sz w:val="20"/>
                <w:szCs w:val="20"/>
                <w:lang w:eastAsia="cs-CZ"/>
              </w:rPr>
            </w:pPr>
            <w:r w:rsidRPr="000C1EA6">
              <w:rPr>
                <w:rFonts w:eastAsia="Times New Roman" w:cs="Times New Roman"/>
                <w:sz w:val="20"/>
                <w:szCs w:val="20"/>
                <w:lang w:eastAsia="cs-CZ"/>
              </w:rPr>
              <w:t>Přebytek nutné hotovosti</w:t>
            </w:r>
          </w:p>
        </w:tc>
        <w:tc>
          <w:tcPr>
            <w:tcW w:w="1210" w:type="dxa"/>
            <w:tcBorders>
              <w:top w:val="single" w:sz="4" w:space="0" w:color="152935"/>
              <w:left w:val="nil"/>
              <w:bottom w:val="single" w:sz="4" w:space="0" w:color="AEAEAE"/>
              <w:right w:val="nil"/>
            </w:tcBorders>
            <w:shd w:val="clear" w:color="auto" w:fill="auto"/>
            <w:noWrap/>
            <w:vAlign w:val="center"/>
            <w:hideMark/>
          </w:tcPr>
          <w:p w:rsidR="006A291C" w:rsidRPr="000C1EA6" w:rsidRDefault="006A291C" w:rsidP="00E01698">
            <w:pPr>
              <w:rPr>
                <w:rFonts w:eastAsia="Times New Roman" w:cs="Times New Roman"/>
                <w:sz w:val="20"/>
                <w:szCs w:val="20"/>
                <w:lang w:eastAsia="cs-CZ"/>
              </w:rPr>
            </w:pPr>
            <w:r w:rsidRPr="000C1EA6">
              <w:rPr>
                <w:rFonts w:eastAsia="Times New Roman" w:cs="Times New Roman"/>
                <w:sz w:val="20"/>
                <w:szCs w:val="20"/>
                <w:lang w:eastAsia="cs-CZ"/>
              </w:rPr>
              <w:t>19,5</w:t>
            </w:r>
            <w:r w:rsidR="00F93571" w:rsidRPr="000C1EA6">
              <w:rPr>
                <w:rFonts w:eastAsia="Times New Roman" w:cs="Times New Roman"/>
                <w:sz w:val="20"/>
                <w:szCs w:val="20"/>
                <w:lang w:eastAsia="cs-CZ"/>
              </w:rPr>
              <w:t xml:space="preserve"> </w:t>
            </w:r>
            <w:r w:rsidRPr="000C1EA6">
              <w:rPr>
                <w:rFonts w:eastAsia="Times New Roman" w:cs="Times New Roman"/>
                <w:sz w:val="20"/>
                <w:szCs w:val="20"/>
                <w:lang w:eastAsia="cs-CZ"/>
              </w:rPr>
              <w:t>%</w:t>
            </w:r>
          </w:p>
        </w:tc>
        <w:tc>
          <w:tcPr>
            <w:tcW w:w="1210" w:type="dxa"/>
            <w:tcBorders>
              <w:top w:val="single" w:sz="4" w:space="0" w:color="152935"/>
              <w:left w:val="nil"/>
              <w:bottom w:val="single" w:sz="4" w:space="0" w:color="AEAEAE"/>
              <w:right w:val="nil"/>
            </w:tcBorders>
            <w:shd w:val="clear" w:color="auto" w:fill="auto"/>
            <w:noWrap/>
            <w:vAlign w:val="center"/>
            <w:hideMark/>
          </w:tcPr>
          <w:p w:rsidR="006A291C" w:rsidRPr="000C1EA6" w:rsidRDefault="006A291C" w:rsidP="00E01698">
            <w:pPr>
              <w:rPr>
                <w:rFonts w:eastAsia="Times New Roman" w:cs="Times New Roman"/>
                <w:sz w:val="20"/>
                <w:szCs w:val="20"/>
                <w:lang w:eastAsia="cs-CZ"/>
              </w:rPr>
            </w:pPr>
            <w:r w:rsidRPr="000C1EA6">
              <w:rPr>
                <w:rFonts w:eastAsia="Times New Roman" w:cs="Times New Roman"/>
                <w:sz w:val="20"/>
                <w:szCs w:val="20"/>
                <w:lang w:eastAsia="cs-CZ"/>
              </w:rPr>
              <w:t>31,1</w:t>
            </w:r>
            <w:r w:rsidR="00F93571" w:rsidRPr="000C1EA6">
              <w:rPr>
                <w:rFonts w:eastAsia="Times New Roman" w:cs="Times New Roman"/>
                <w:sz w:val="20"/>
                <w:szCs w:val="20"/>
                <w:lang w:eastAsia="cs-CZ"/>
              </w:rPr>
              <w:t xml:space="preserve"> </w:t>
            </w:r>
            <w:r w:rsidRPr="000C1EA6">
              <w:rPr>
                <w:rFonts w:eastAsia="Times New Roman" w:cs="Times New Roman"/>
                <w:sz w:val="20"/>
                <w:szCs w:val="20"/>
                <w:lang w:eastAsia="cs-CZ"/>
              </w:rPr>
              <w:t>%</w:t>
            </w:r>
          </w:p>
        </w:tc>
        <w:tc>
          <w:tcPr>
            <w:tcW w:w="1210" w:type="dxa"/>
            <w:tcBorders>
              <w:top w:val="single" w:sz="4" w:space="0" w:color="152935"/>
              <w:left w:val="nil"/>
              <w:bottom w:val="single" w:sz="4" w:space="0" w:color="AEAEAE"/>
              <w:right w:val="single" w:sz="4" w:space="0" w:color="auto"/>
            </w:tcBorders>
            <w:shd w:val="clear" w:color="auto" w:fill="auto"/>
            <w:noWrap/>
            <w:vAlign w:val="center"/>
            <w:hideMark/>
          </w:tcPr>
          <w:p w:rsidR="006A291C" w:rsidRPr="000C1EA6" w:rsidRDefault="006A291C" w:rsidP="00E01698">
            <w:pPr>
              <w:rPr>
                <w:rFonts w:eastAsia="Times New Roman" w:cs="Times New Roman"/>
                <w:sz w:val="20"/>
                <w:szCs w:val="20"/>
                <w:lang w:eastAsia="cs-CZ"/>
              </w:rPr>
            </w:pPr>
            <w:r w:rsidRPr="000C1EA6">
              <w:rPr>
                <w:rFonts w:eastAsia="Times New Roman" w:cs="Times New Roman"/>
                <w:sz w:val="20"/>
                <w:szCs w:val="20"/>
                <w:lang w:eastAsia="cs-CZ"/>
              </w:rPr>
              <w:t>34,8</w:t>
            </w:r>
            <w:r w:rsidR="00F93571" w:rsidRPr="000C1EA6">
              <w:rPr>
                <w:rFonts w:eastAsia="Times New Roman" w:cs="Times New Roman"/>
                <w:sz w:val="20"/>
                <w:szCs w:val="20"/>
                <w:lang w:eastAsia="cs-CZ"/>
              </w:rPr>
              <w:t xml:space="preserve"> </w:t>
            </w:r>
            <w:r w:rsidRPr="000C1EA6">
              <w:rPr>
                <w:rFonts w:eastAsia="Times New Roman" w:cs="Times New Roman"/>
                <w:sz w:val="20"/>
                <w:szCs w:val="20"/>
                <w:lang w:eastAsia="cs-CZ"/>
              </w:rPr>
              <w:t>%</w:t>
            </w:r>
          </w:p>
        </w:tc>
      </w:tr>
      <w:tr w:rsidR="006A291C" w:rsidRPr="00CF225B" w:rsidTr="001545FF">
        <w:trPr>
          <w:trHeight w:val="284"/>
        </w:trPr>
        <w:tc>
          <w:tcPr>
            <w:tcW w:w="2829" w:type="dxa"/>
            <w:vMerge/>
            <w:tcBorders>
              <w:top w:val="nil"/>
              <w:left w:val="single" w:sz="4" w:space="0" w:color="auto"/>
              <w:bottom w:val="single" w:sz="4" w:space="0" w:color="AEAEAE"/>
              <w:right w:val="nil"/>
            </w:tcBorders>
            <w:vAlign w:val="center"/>
            <w:hideMark/>
          </w:tcPr>
          <w:p w:rsidR="006A291C" w:rsidRPr="000C1EA6" w:rsidRDefault="006A291C" w:rsidP="00E01698">
            <w:pPr>
              <w:rPr>
                <w:rFonts w:eastAsia="Times New Roman" w:cs="Times New Roman"/>
                <w:sz w:val="20"/>
                <w:szCs w:val="20"/>
                <w:lang w:eastAsia="cs-CZ"/>
              </w:rPr>
            </w:pPr>
          </w:p>
        </w:tc>
        <w:tc>
          <w:tcPr>
            <w:tcW w:w="2613" w:type="dxa"/>
            <w:tcBorders>
              <w:top w:val="nil"/>
              <w:left w:val="nil"/>
              <w:bottom w:val="single" w:sz="4" w:space="0" w:color="AEAEAE"/>
              <w:right w:val="nil"/>
            </w:tcBorders>
            <w:shd w:val="clear" w:color="auto" w:fill="auto"/>
            <w:vAlign w:val="center"/>
            <w:hideMark/>
          </w:tcPr>
          <w:p w:rsidR="006A291C" w:rsidRPr="000C1EA6" w:rsidRDefault="006A291C" w:rsidP="00E01698">
            <w:pPr>
              <w:rPr>
                <w:rFonts w:eastAsia="Times New Roman" w:cs="Times New Roman"/>
                <w:b/>
                <w:sz w:val="20"/>
                <w:szCs w:val="20"/>
                <w:lang w:eastAsia="cs-CZ"/>
              </w:rPr>
            </w:pPr>
            <w:r w:rsidRPr="000C1EA6">
              <w:rPr>
                <w:rFonts w:eastAsia="Times New Roman" w:cs="Times New Roman"/>
                <w:b/>
                <w:sz w:val="20"/>
                <w:szCs w:val="20"/>
                <w:lang w:eastAsia="cs-CZ"/>
              </w:rPr>
              <w:t>Deficit nutné hotovosti</w:t>
            </w:r>
          </w:p>
        </w:tc>
        <w:tc>
          <w:tcPr>
            <w:tcW w:w="1210" w:type="dxa"/>
            <w:tcBorders>
              <w:top w:val="nil"/>
              <w:left w:val="nil"/>
              <w:bottom w:val="single" w:sz="4" w:space="0" w:color="AEAEAE"/>
              <w:right w:val="nil"/>
            </w:tcBorders>
            <w:shd w:val="clear" w:color="auto" w:fill="auto"/>
            <w:noWrap/>
            <w:vAlign w:val="center"/>
            <w:hideMark/>
          </w:tcPr>
          <w:p w:rsidR="006A291C" w:rsidRPr="000C1EA6" w:rsidRDefault="006A291C" w:rsidP="00E01698">
            <w:pPr>
              <w:rPr>
                <w:rFonts w:eastAsia="Times New Roman" w:cs="Times New Roman"/>
                <w:b/>
                <w:sz w:val="20"/>
                <w:szCs w:val="20"/>
                <w:lang w:eastAsia="cs-CZ"/>
              </w:rPr>
            </w:pPr>
            <w:r w:rsidRPr="000C1EA6">
              <w:rPr>
                <w:rFonts w:eastAsia="Times New Roman" w:cs="Times New Roman"/>
                <w:b/>
                <w:sz w:val="20"/>
                <w:szCs w:val="20"/>
                <w:lang w:eastAsia="cs-CZ"/>
              </w:rPr>
              <w:t>80,5</w:t>
            </w:r>
            <w:r w:rsidR="00F93571" w:rsidRPr="000C1EA6">
              <w:rPr>
                <w:rFonts w:eastAsia="Times New Roman" w:cs="Times New Roman"/>
                <w:b/>
                <w:sz w:val="20"/>
                <w:szCs w:val="20"/>
                <w:lang w:eastAsia="cs-CZ"/>
              </w:rPr>
              <w:t xml:space="preserve"> </w:t>
            </w:r>
            <w:r w:rsidRPr="000C1EA6">
              <w:rPr>
                <w:rFonts w:eastAsia="Times New Roman" w:cs="Times New Roman"/>
                <w:b/>
                <w:sz w:val="20"/>
                <w:szCs w:val="20"/>
                <w:lang w:eastAsia="cs-CZ"/>
              </w:rPr>
              <w:t>%</w:t>
            </w:r>
          </w:p>
        </w:tc>
        <w:tc>
          <w:tcPr>
            <w:tcW w:w="1210" w:type="dxa"/>
            <w:tcBorders>
              <w:top w:val="nil"/>
              <w:left w:val="nil"/>
              <w:bottom w:val="single" w:sz="4" w:space="0" w:color="AEAEAE"/>
              <w:right w:val="nil"/>
            </w:tcBorders>
            <w:shd w:val="clear" w:color="auto" w:fill="auto"/>
            <w:noWrap/>
            <w:vAlign w:val="center"/>
            <w:hideMark/>
          </w:tcPr>
          <w:p w:rsidR="006A291C" w:rsidRPr="000C1EA6" w:rsidRDefault="006A291C" w:rsidP="00E01698">
            <w:pPr>
              <w:rPr>
                <w:rFonts w:eastAsia="Times New Roman" w:cs="Times New Roman"/>
                <w:b/>
                <w:sz w:val="20"/>
                <w:szCs w:val="20"/>
                <w:lang w:eastAsia="cs-CZ"/>
              </w:rPr>
            </w:pPr>
            <w:r w:rsidRPr="000C1EA6">
              <w:rPr>
                <w:rFonts w:eastAsia="Times New Roman" w:cs="Times New Roman"/>
                <w:b/>
                <w:sz w:val="20"/>
                <w:szCs w:val="20"/>
                <w:lang w:eastAsia="cs-CZ"/>
              </w:rPr>
              <w:t>68,9</w:t>
            </w:r>
            <w:r w:rsidR="00F93571" w:rsidRPr="000C1EA6">
              <w:rPr>
                <w:rFonts w:eastAsia="Times New Roman" w:cs="Times New Roman"/>
                <w:b/>
                <w:sz w:val="20"/>
                <w:szCs w:val="20"/>
                <w:lang w:eastAsia="cs-CZ"/>
              </w:rPr>
              <w:t xml:space="preserve"> </w:t>
            </w:r>
            <w:r w:rsidRPr="000C1EA6">
              <w:rPr>
                <w:rFonts w:eastAsia="Times New Roman" w:cs="Times New Roman"/>
                <w:b/>
                <w:sz w:val="20"/>
                <w:szCs w:val="20"/>
                <w:lang w:eastAsia="cs-CZ"/>
              </w:rPr>
              <w:t>%</w:t>
            </w:r>
          </w:p>
        </w:tc>
        <w:tc>
          <w:tcPr>
            <w:tcW w:w="1210" w:type="dxa"/>
            <w:tcBorders>
              <w:top w:val="nil"/>
              <w:left w:val="nil"/>
              <w:bottom w:val="single" w:sz="4" w:space="0" w:color="AEAEAE"/>
              <w:right w:val="single" w:sz="4" w:space="0" w:color="auto"/>
            </w:tcBorders>
            <w:shd w:val="clear" w:color="auto" w:fill="auto"/>
            <w:noWrap/>
            <w:vAlign w:val="center"/>
            <w:hideMark/>
          </w:tcPr>
          <w:p w:rsidR="006A291C" w:rsidRPr="000C1EA6" w:rsidRDefault="006A291C" w:rsidP="00E01698">
            <w:pPr>
              <w:rPr>
                <w:rFonts w:eastAsia="Times New Roman" w:cs="Times New Roman"/>
                <w:b/>
                <w:sz w:val="20"/>
                <w:szCs w:val="20"/>
                <w:lang w:eastAsia="cs-CZ"/>
              </w:rPr>
            </w:pPr>
            <w:r w:rsidRPr="000C1EA6">
              <w:rPr>
                <w:rFonts w:eastAsia="Times New Roman" w:cs="Times New Roman"/>
                <w:b/>
                <w:sz w:val="20"/>
                <w:szCs w:val="20"/>
                <w:lang w:eastAsia="cs-CZ"/>
              </w:rPr>
              <w:t>65,2</w:t>
            </w:r>
            <w:r w:rsidR="00F93571" w:rsidRPr="000C1EA6">
              <w:rPr>
                <w:rFonts w:eastAsia="Times New Roman" w:cs="Times New Roman"/>
                <w:b/>
                <w:sz w:val="20"/>
                <w:szCs w:val="20"/>
                <w:lang w:eastAsia="cs-CZ"/>
              </w:rPr>
              <w:t xml:space="preserve"> </w:t>
            </w:r>
            <w:r w:rsidRPr="000C1EA6">
              <w:rPr>
                <w:rFonts w:eastAsia="Times New Roman" w:cs="Times New Roman"/>
                <w:b/>
                <w:sz w:val="20"/>
                <w:szCs w:val="20"/>
                <w:lang w:eastAsia="cs-CZ"/>
              </w:rPr>
              <w:t>%</w:t>
            </w:r>
          </w:p>
        </w:tc>
      </w:tr>
      <w:tr w:rsidR="006A291C" w:rsidRPr="00CF225B" w:rsidTr="001545FF">
        <w:trPr>
          <w:trHeight w:val="284"/>
        </w:trPr>
        <w:tc>
          <w:tcPr>
            <w:tcW w:w="5442" w:type="dxa"/>
            <w:gridSpan w:val="2"/>
            <w:tcBorders>
              <w:top w:val="single" w:sz="4" w:space="0" w:color="AEAEAE"/>
              <w:left w:val="single" w:sz="4" w:space="0" w:color="auto"/>
              <w:bottom w:val="single" w:sz="4" w:space="0" w:color="auto"/>
              <w:right w:val="nil"/>
            </w:tcBorders>
            <w:shd w:val="clear" w:color="auto" w:fill="auto"/>
            <w:vAlign w:val="center"/>
            <w:hideMark/>
          </w:tcPr>
          <w:p w:rsidR="006A291C" w:rsidRPr="000C1EA6" w:rsidRDefault="006A291C" w:rsidP="00E01698">
            <w:pPr>
              <w:rPr>
                <w:rFonts w:eastAsia="Times New Roman" w:cs="Times New Roman"/>
                <w:sz w:val="20"/>
                <w:szCs w:val="20"/>
                <w:lang w:eastAsia="cs-CZ"/>
              </w:rPr>
            </w:pPr>
            <w:r w:rsidRPr="000C1EA6">
              <w:rPr>
                <w:rFonts w:eastAsia="Times New Roman" w:cs="Times New Roman"/>
                <w:sz w:val="20"/>
                <w:szCs w:val="20"/>
                <w:lang w:eastAsia="cs-CZ"/>
              </w:rPr>
              <w:t>Total</w:t>
            </w:r>
          </w:p>
        </w:tc>
        <w:tc>
          <w:tcPr>
            <w:tcW w:w="1210" w:type="dxa"/>
            <w:tcBorders>
              <w:top w:val="nil"/>
              <w:left w:val="nil"/>
              <w:bottom w:val="single" w:sz="4" w:space="0" w:color="auto"/>
              <w:right w:val="nil"/>
            </w:tcBorders>
            <w:shd w:val="clear" w:color="auto" w:fill="auto"/>
            <w:noWrap/>
            <w:vAlign w:val="center"/>
            <w:hideMark/>
          </w:tcPr>
          <w:p w:rsidR="006A291C" w:rsidRPr="000C1EA6" w:rsidRDefault="006A291C" w:rsidP="00E01698">
            <w:pPr>
              <w:rPr>
                <w:rFonts w:eastAsia="Times New Roman" w:cs="Times New Roman"/>
                <w:sz w:val="20"/>
                <w:szCs w:val="20"/>
                <w:lang w:eastAsia="cs-CZ"/>
              </w:rPr>
            </w:pPr>
            <w:r w:rsidRPr="000C1EA6">
              <w:rPr>
                <w:rFonts w:eastAsia="Times New Roman" w:cs="Times New Roman"/>
                <w:sz w:val="20"/>
                <w:szCs w:val="20"/>
                <w:lang w:eastAsia="cs-CZ"/>
              </w:rPr>
              <w:t>100,0</w:t>
            </w:r>
            <w:r w:rsidR="00F93571" w:rsidRPr="000C1EA6">
              <w:rPr>
                <w:rFonts w:eastAsia="Times New Roman" w:cs="Times New Roman"/>
                <w:sz w:val="20"/>
                <w:szCs w:val="20"/>
                <w:lang w:eastAsia="cs-CZ"/>
              </w:rPr>
              <w:t xml:space="preserve"> </w:t>
            </w:r>
            <w:r w:rsidRPr="000C1EA6">
              <w:rPr>
                <w:rFonts w:eastAsia="Times New Roman" w:cs="Times New Roman"/>
                <w:sz w:val="20"/>
                <w:szCs w:val="20"/>
                <w:lang w:eastAsia="cs-CZ"/>
              </w:rPr>
              <w:t>%</w:t>
            </w:r>
          </w:p>
        </w:tc>
        <w:tc>
          <w:tcPr>
            <w:tcW w:w="1210" w:type="dxa"/>
            <w:tcBorders>
              <w:top w:val="nil"/>
              <w:left w:val="nil"/>
              <w:bottom w:val="single" w:sz="4" w:space="0" w:color="auto"/>
              <w:right w:val="nil"/>
            </w:tcBorders>
            <w:shd w:val="clear" w:color="auto" w:fill="auto"/>
            <w:noWrap/>
            <w:vAlign w:val="center"/>
            <w:hideMark/>
          </w:tcPr>
          <w:p w:rsidR="006A291C" w:rsidRPr="000C1EA6" w:rsidRDefault="006A291C" w:rsidP="00E01698">
            <w:pPr>
              <w:rPr>
                <w:rFonts w:eastAsia="Times New Roman" w:cs="Times New Roman"/>
                <w:sz w:val="20"/>
                <w:szCs w:val="20"/>
                <w:lang w:eastAsia="cs-CZ"/>
              </w:rPr>
            </w:pPr>
            <w:r w:rsidRPr="000C1EA6">
              <w:rPr>
                <w:rFonts w:eastAsia="Times New Roman" w:cs="Times New Roman"/>
                <w:sz w:val="20"/>
                <w:szCs w:val="20"/>
                <w:lang w:eastAsia="cs-CZ"/>
              </w:rPr>
              <w:t>100,0</w:t>
            </w:r>
            <w:r w:rsidR="00F93571" w:rsidRPr="000C1EA6">
              <w:rPr>
                <w:rFonts w:eastAsia="Times New Roman" w:cs="Times New Roman"/>
                <w:sz w:val="20"/>
                <w:szCs w:val="20"/>
                <w:lang w:eastAsia="cs-CZ"/>
              </w:rPr>
              <w:t xml:space="preserve"> </w:t>
            </w:r>
            <w:r w:rsidRPr="000C1EA6">
              <w:rPr>
                <w:rFonts w:eastAsia="Times New Roman" w:cs="Times New Roman"/>
                <w:sz w:val="20"/>
                <w:szCs w:val="20"/>
                <w:lang w:eastAsia="cs-CZ"/>
              </w:rPr>
              <w:t>%</w:t>
            </w:r>
          </w:p>
        </w:tc>
        <w:tc>
          <w:tcPr>
            <w:tcW w:w="1210" w:type="dxa"/>
            <w:tcBorders>
              <w:top w:val="nil"/>
              <w:left w:val="nil"/>
              <w:bottom w:val="single" w:sz="4" w:space="0" w:color="auto"/>
              <w:right w:val="single" w:sz="4" w:space="0" w:color="auto"/>
            </w:tcBorders>
            <w:shd w:val="clear" w:color="auto" w:fill="auto"/>
            <w:noWrap/>
            <w:vAlign w:val="center"/>
            <w:hideMark/>
          </w:tcPr>
          <w:p w:rsidR="006A291C" w:rsidRPr="000C1EA6" w:rsidRDefault="006A291C" w:rsidP="00E01698">
            <w:pPr>
              <w:rPr>
                <w:rFonts w:eastAsia="Times New Roman" w:cs="Times New Roman"/>
                <w:sz w:val="20"/>
                <w:szCs w:val="20"/>
                <w:lang w:eastAsia="cs-CZ"/>
              </w:rPr>
            </w:pPr>
            <w:r w:rsidRPr="000C1EA6">
              <w:rPr>
                <w:rFonts w:eastAsia="Times New Roman" w:cs="Times New Roman"/>
                <w:sz w:val="20"/>
                <w:szCs w:val="20"/>
                <w:lang w:eastAsia="cs-CZ"/>
              </w:rPr>
              <w:t>100,0</w:t>
            </w:r>
            <w:r w:rsidR="00F93571" w:rsidRPr="000C1EA6">
              <w:rPr>
                <w:rFonts w:eastAsia="Times New Roman" w:cs="Times New Roman"/>
                <w:sz w:val="20"/>
                <w:szCs w:val="20"/>
                <w:lang w:eastAsia="cs-CZ"/>
              </w:rPr>
              <w:t xml:space="preserve"> </w:t>
            </w:r>
            <w:r w:rsidRPr="000C1EA6">
              <w:rPr>
                <w:rFonts w:eastAsia="Times New Roman" w:cs="Times New Roman"/>
                <w:sz w:val="20"/>
                <w:szCs w:val="20"/>
                <w:lang w:eastAsia="cs-CZ"/>
              </w:rPr>
              <w:t>%</w:t>
            </w:r>
          </w:p>
        </w:tc>
      </w:tr>
      <w:tr w:rsidR="006A291C" w:rsidRPr="00CF225B" w:rsidTr="001545FF">
        <w:trPr>
          <w:trHeight w:val="284"/>
        </w:trPr>
        <w:tc>
          <w:tcPr>
            <w:tcW w:w="2829" w:type="dxa"/>
            <w:vMerge w:val="restart"/>
            <w:tcBorders>
              <w:top w:val="nil"/>
              <w:left w:val="single" w:sz="4" w:space="0" w:color="auto"/>
              <w:bottom w:val="single" w:sz="4" w:space="0" w:color="AEAEAE"/>
              <w:right w:val="nil"/>
            </w:tcBorders>
            <w:shd w:val="clear" w:color="auto" w:fill="auto"/>
            <w:vAlign w:val="center"/>
            <w:hideMark/>
          </w:tcPr>
          <w:p w:rsidR="006A291C" w:rsidRPr="000C1EA6" w:rsidRDefault="006A291C" w:rsidP="00E01698">
            <w:pPr>
              <w:rPr>
                <w:rFonts w:eastAsia="Times New Roman" w:cs="Times New Roman"/>
                <w:sz w:val="20"/>
                <w:szCs w:val="20"/>
                <w:lang w:eastAsia="cs-CZ"/>
              </w:rPr>
            </w:pPr>
            <w:r w:rsidRPr="000C1EA6">
              <w:rPr>
                <w:rFonts w:eastAsia="Times New Roman" w:cs="Times New Roman"/>
                <w:sz w:val="20"/>
                <w:szCs w:val="20"/>
                <w:lang w:eastAsia="cs-CZ"/>
              </w:rPr>
              <w:t>Polarita nutné hotovosti (20 %)</w:t>
            </w:r>
          </w:p>
        </w:tc>
        <w:tc>
          <w:tcPr>
            <w:tcW w:w="2613" w:type="dxa"/>
            <w:tcBorders>
              <w:top w:val="nil"/>
              <w:left w:val="nil"/>
              <w:bottom w:val="single" w:sz="4" w:space="0" w:color="AEAEAE"/>
              <w:right w:val="nil"/>
            </w:tcBorders>
            <w:shd w:val="clear" w:color="auto" w:fill="auto"/>
            <w:vAlign w:val="center"/>
            <w:hideMark/>
          </w:tcPr>
          <w:p w:rsidR="006A291C" w:rsidRPr="000C1EA6" w:rsidRDefault="006A291C" w:rsidP="00E01698">
            <w:pPr>
              <w:rPr>
                <w:rFonts w:eastAsia="Times New Roman" w:cs="Times New Roman"/>
                <w:sz w:val="20"/>
                <w:szCs w:val="20"/>
                <w:lang w:eastAsia="cs-CZ"/>
              </w:rPr>
            </w:pPr>
            <w:r w:rsidRPr="000C1EA6">
              <w:rPr>
                <w:rFonts w:eastAsia="Times New Roman" w:cs="Times New Roman"/>
                <w:sz w:val="20"/>
                <w:szCs w:val="20"/>
                <w:lang w:eastAsia="cs-CZ"/>
              </w:rPr>
              <w:t>Přebytek nutné hotovosti (20 %)</w:t>
            </w:r>
          </w:p>
        </w:tc>
        <w:tc>
          <w:tcPr>
            <w:tcW w:w="1210" w:type="dxa"/>
            <w:tcBorders>
              <w:top w:val="single" w:sz="4" w:space="0" w:color="152935"/>
              <w:left w:val="nil"/>
              <w:bottom w:val="single" w:sz="4" w:space="0" w:color="AEAEAE"/>
              <w:right w:val="nil"/>
            </w:tcBorders>
            <w:shd w:val="clear" w:color="auto" w:fill="auto"/>
            <w:noWrap/>
            <w:vAlign w:val="center"/>
            <w:hideMark/>
          </w:tcPr>
          <w:p w:rsidR="006A291C" w:rsidRPr="000C1EA6" w:rsidRDefault="006A291C" w:rsidP="00E01698">
            <w:pPr>
              <w:rPr>
                <w:rFonts w:eastAsia="Times New Roman" w:cs="Times New Roman"/>
                <w:sz w:val="20"/>
                <w:szCs w:val="20"/>
                <w:lang w:eastAsia="cs-CZ"/>
              </w:rPr>
            </w:pPr>
            <w:r w:rsidRPr="000C1EA6">
              <w:rPr>
                <w:rFonts w:eastAsia="Times New Roman" w:cs="Times New Roman"/>
                <w:sz w:val="20"/>
                <w:szCs w:val="20"/>
                <w:lang w:eastAsia="cs-CZ"/>
              </w:rPr>
              <w:t>16,9</w:t>
            </w:r>
            <w:r w:rsidR="00F93571" w:rsidRPr="000C1EA6">
              <w:rPr>
                <w:rFonts w:eastAsia="Times New Roman" w:cs="Times New Roman"/>
                <w:sz w:val="20"/>
                <w:szCs w:val="20"/>
                <w:lang w:eastAsia="cs-CZ"/>
              </w:rPr>
              <w:t xml:space="preserve"> </w:t>
            </w:r>
            <w:r w:rsidRPr="000C1EA6">
              <w:rPr>
                <w:rFonts w:eastAsia="Times New Roman" w:cs="Times New Roman"/>
                <w:sz w:val="20"/>
                <w:szCs w:val="20"/>
                <w:lang w:eastAsia="cs-CZ"/>
              </w:rPr>
              <w:t>%</w:t>
            </w:r>
          </w:p>
        </w:tc>
        <w:tc>
          <w:tcPr>
            <w:tcW w:w="1210" w:type="dxa"/>
            <w:tcBorders>
              <w:top w:val="single" w:sz="4" w:space="0" w:color="152935"/>
              <w:left w:val="nil"/>
              <w:bottom w:val="single" w:sz="4" w:space="0" w:color="AEAEAE"/>
              <w:right w:val="nil"/>
            </w:tcBorders>
            <w:shd w:val="clear" w:color="auto" w:fill="auto"/>
            <w:noWrap/>
            <w:vAlign w:val="center"/>
            <w:hideMark/>
          </w:tcPr>
          <w:p w:rsidR="006A291C" w:rsidRPr="000C1EA6" w:rsidRDefault="006A291C" w:rsidP="00E01698">
            <w:pPr>
              <w:rPr>
                <w:rFonts w:eastAsia="Times New Roman" w:cs="Times New Roman"/>
                <w:sz w:val="20"/>
                <w:szCs w:val="20"/>
                <w:lang w:eastAsia="cs-CZ"/>
              </w:rPr>
            </w:pPr>
            <w:r w:rsidRPr="000C1EA6">
              <w:rPr>
                <w:rFonts w:eastAsia="Times New Roman" w:cs="Times New Roman"/>
                <w:sz w:val="20"/>
                <w:szCs w:val="20"/>
                <w:lang w:eastAsia="cs-CZ"/>
              </w:rPr>
              <w:t>26,6</w:t>
            </w:r>
            <w:r w:rsidR="00F93571" w:rsidRPr="000C1EA6">
              <w:rPr>
                <w:rFonts w:eastAsia="Times New Roman" w:cs="Times New Roman"/>
                <w:sz w:val="20"/>
                <w:szCs w:val="20"/>
                <w:lang w:eastAsia="cs-CZ"/>
              </w:rPr>
              <w:t xml:space="preserve"> </w:t>
            </w:r>
            <w:r w:rsidRPr="000C1EA6">
              <w:rPr>
                <w:rFonts w:eastAsia="Times New Roman" w:cs="Times New Roman"/>
                <w:sz w:val="20"/>
                <w:szCs w:val="20"/>
                <w:lang w:eastAsia="cs-CZ"/>
              </w:rPr>
              <w:t>%</w:t>
            </w:r>
          </w:p>
        </w:tc>
        <w:tc>
          <w:tcPr>
            <w:tcW w:w="1210" w:type="dxa"/>
            <w:tcBorders>
              <w:top w:val="single" w:sz="4" w:space="0" w:color="152935"/>
              <w:left w:val="nil"/>
              <w:bottom w:val="single" w:sz="4" w:space="0" w:color="AEAEAE"/>
              <w:right w:val="single" w:sz="4" w:space="0" w:color="auto"/>
            </w:tcBorders>
            <w:shd w:val="clear" w:color="auto" w:fill="auto"/>
            <w:noWrap/>
            <w:vAlign w:val="center"/>
            <w:hideMark/>
          </w:tcPr>
          <w:p w:rsidR="006A291C" w:rsidRPr="000C1EA6" w:rsidRDefault="006A291C" w:rsidP="00E01698">
            <w:pPr>
              <w:rPr>
                <w:rFonts w:eastAsia="Times New Roman" w:cs="Times New Roman"/>
                <w:sz w:val="20"/>
                <w:szCs w:val="20"/>
                <w:lang w:eastAsia="cs-CZ"/>
              </w:rPr>
            </w:pPr>
            <w:r w:rsidRPr="000C1EA6">
              <w:rPr>
                <w:rFonts w:eastAsia="Times New Roman" w:cs="Times New Roman"/>
                <w:sz w:val="20"/>
                <w:szCs w:val="20"/>
                <w:lang w:eastAsia="cs-CZ"/>
              </w:rPr>
              <w:t>30,9</w:t>
            </w:r>
            <w:r w:rsidR="00F93571" w:rsidRPr="000C1EA6">
              <w:rPr>
                <w:rFonts w:eastAsia="Times New Roman" w:cs="Times New Roman"/>
                <w:sz w:val="20"/>
                <w:szCs w:val="20"/>
                <w:lang w:eastAsia="cs-CZ"/>
              </w:rPr>
              <w:t xml:space="preserve"> </w:t>
            </w:r>
            <w:r w:rsidRPr="000C1EA6">
              <w:rPr>
                <w:rFonts w:eastAsia="Times New Roman" w:cs="Times New Roman"/>
                <w:sz w:val="20"/>
                <w:szCs w:val="20"/>
                <w:lang w:eastAsia="cs-CZ"/>
              </w:rPr>
              <w:t>%</w:t>
            </w:r>
          </w:p>
        </w:tc>
      </w:tr>
      <w:tr w:rsidR="006A291C" w:rsidRPr="00CF225B" w:rsidTr="001545FF">
        <w:trPr>
          <w:trHeight w:val="284"/>
        </w:trPr>
        <w:tc>
          <w:tcPr>
            <w:tcW w:w="2829" w:type="dxa"/>
            <w:vMerge/>
            <w:tcBorders>
              <w:top w:val="nil"/>
              <w:left w:val="single" w:sz="4" w:space="0" w:color="auto"/>
              <w:bottom w:val="single" w:sz="4" w:space="0" w:color="AEAEAE"/>
              <w:right w:val="nil"/>
            </w:tcBorders>
            <w:vAlign w:val="center"/>
            <w:hideMark/>
          </w:tcPr>
          <w:p w:rsidR="006A291C" w:rsidRPr="000C1EA6" w:rsidRDefault="006A291C" w:rsidP="00E01698">
            <w:pPr>
              <w:rPr>
                <w:rFonts w:eastAsia="Times New Roman" w:cs="Times New Roman"/>
                <w:sz w:val="20"/>
                <w:szCs w:val="20"/>
                <w:lang w:eastAsia="cs-CZ"/>
              </w:rPr>
            </w:pPr>
          </w:p>
        </w:tc>
        <w:tc>
          <w:tcPr>
            <w:tcW w:w="2613" w:type="dxa"/>
            <w:tcBorders>
              <w:top w:val="nil"/>
              <w:left w:val="nil"/>
              <w:bottom w:val="single" w:sz="4" w:space="0" w:color="AEAEAE"/>
              <w:right w:val="nil"/>
            </w:tcBorders>
            <w:shd w:val="clear" w:color="auto" w:fill="auto"/>
            <w:vAlign w:val="center"/>
            <w:hideMark/>
          </w:tcPr>
          <w:p w:rsidR="006A291C" w:rsidRPr="000C1EA6" w:rsidRDefault="006A291C" w:rsidP="00E01698">
            <w:pPr>
              <w:rPr>
                <w:rFonts w:eastAsia="Times New Roman" w:cs="Times New Roman"/>
                <w:b/>
                <w:sz w:val="20"/>
                <w:szCs w:val="20"/>
                <w:lang w:eastAsia="cs-CZ"/>
              </w:rPr>
            </w:pPr>
            <w:r w:rsidRPr="000C1EA6">
              <w:rPr>
                <w:rFonts w:eastAsia="Times New Roman" w:cs="Times New Roman"/>
                <w:b/>
                <w:sz w:val="20"/>
                <w:szCs w:val="20"/>
                <w:lang w:eastAsia="cs-CZ"/>
              </w:rPr>
              <w:t>Deficit nutné hotovosti (20 %)</w:t>
            </w:r>
          </w:p>
        </w:tc>
        <w:tc>
          <w:tcPr>
            <w:tcW w:w="1210" w:type="dxa"/>
            <w:tcBorders>
              <w:top w:val="nil"/>
              <w:left w:val="nil"/>
              <w:bottom w:val="single" w:sz="4" w:space="0" w:color="AEAEAE"/>
              <w:right w:val="nil"/>
            </w:tcBorders>
            <w:shd w:val="clear" w:color="auto" w:fill="auto"/>
            <w:noWrap/>
            <w:vAlign w:val="center"/>
            <w:hideMark/>
          </w:tcPr>
          <w:p w:rsidR="006A291C" w:rsidRPr="000C1EA6" w:rsidRDefault="006A291C" w:rsidP="00E01698">
            <w:pPr>
              <w:rPr>
                <w:rFonts w:eastAsia="Times New Roman" w:cs="Times New Roman"/>
                <w:b/>
                <w:sz w:val="20"/>
                <w:szCs w:val="20"/>
                <w:lang w:eastAsia="cs-CZ"/>
              </w:rPr>
            </w:pPr>
            <w:r w:rsidRPr="000C1EA6">
              <w:rPr>
                <w:rFonts w:eastAsia="Times New Roman" w:cs="Times New Roman"/>
                <w:b/>
                <w:sz w:val="20"/>
                <w:szCs w:val="20"/>
                <w:lang w:eastAsia="cs-CZ"/>
              </w:rPr>
              <w:t>83,1</w:t>
            </w:r>
            <w:r w:rsidR="00F93571" w:rsidRPr="000C1EA6">
              <w:rPr>
                <w:rFonts w:eastAsia="Times New Roman" w:cs="Times New Roman"/>
                <w:b/>
                <w:sz w:val="20"/>
                <w:szCs w:val="20"/>
                <w:lang w:eastAsia="cs-CZ"/>
              </w:rPr>
              <w:t xml:space="preserve"> </w:t>
            </w:r>
            <w:r w:rsidRPr="000C1EA6">
              <w:rPr>
                <w:rFonts w:eastAsia="Times New Roman" w:cs="Times New Roman"/>
                <w:b/>
                <w:sz w:val="20"/>
                <w:szCs w:val="20"/>
                <w:lang w:eastAsia="cs-CZ"/>
              </w:rPr>
              <w:t>%</w:t>
            </w:r>
          </w:p>
        </w:tc>
        <w:tc>
          <w:tcPr>
            <w:tcW w:w="1210" w:type="dxa"/>
            <w:tcBorders>
              <w:top w:val="nil"/>
              <w:left w:val="nil"/>
              <w:bottom w:val="single" w:sz="4" w:space="0" w:color="AEAEAE"/>
              <w:right w:val="nil"/>
            </w:tcBorders>
            <w:shd w:val="clear" w:color="auto" w:fill="auto"/>
            <w:noWrap/>
            <w:vAlign w:val="center"/>
            <w:hideMark/>
          </w:tcPr>
          <w:p w:rsidR="006A291C" w:rsidRPr="000C1EA6" w:rsidRDefault="006A291C" w:rsidP="00E01698">
            <w:pPr>
              <w:rPr>
                <w:rFonts w:eastAsia="Times New Roman" w:cs="Times New Roman"/>
                <w:b/>
                <w:sz w:val="20"/>
                <w:szCs w:val="20"/>
                <w:lang w:eastAsia="cs-CZ"/>
              </w:rPr>
            </w:pPr>
            <w:r w:rsidRPr="000C1EA6">
              <w:rPr>
                <w:rFonts w:eastAsia="Times New Roman" w:cs="Times New Roman"/>
                <w:b/>
                <w:sz w:val="20"/>
                <w:szCs w:val="20"/>
                <w:lang w:eastAsia="cs-CZ"/>
              </w:rPr>
              <w:t>73,4</w:t>
            </w:r>
            <w:r w:rsidR="00F93571" w:rsidRPr="000C1EA6">
              <w:rPr>
                <w:rFonts w:eastAsia="Times New Roman" w:cs="Times New Roman"/>
                <w:b/>
                <w:sz w:val="20"/>
                <w:szCs w:val="20"/>
                <w:lang w:eastAsia="cs-CZ"/>
              </w:rPr>
              <w:t xml:space="preserve"> </w:t>
            </w:r>
            <w:r w:rsidRPr="000C1EA6">
              <w:rPr>
                <w:rFonts w:eastAsia="Times New Roman" w:cs="Times New Roman"/>
                <w:b/>
                <w:sz w:val="20"/>
                <w:szCs w:val="20"/>
                <w:lang w:eastAsia="cs-CZ"/>
              </w:rPr>
              <w:t>%</w:t>
            </w:r>
          </w:p>
        </w:tc>
        <w:tc>
          <w:tcPr>
            <w:tcW w:w="1210" w:type="dxa"/>
            <w:tcBorders>
              <w:top w:val="nil"/>
              <w:left w:val="nil"/>
              <w:bottom w:val="single" w:sz="4" w:space="0" w:color="AEAEAE"/>
              <w:right w:val="single" w:sz="4" w:space="0" w:color="auto"/>
            </w:tcBorders>
            <w:shd w:val="clear" w:color="auto" w:fill="auto"/>
            <w:noWrap/>
            <w:vAlign w:val="center"/>
            <w:hideMark/>
          </w:tcPr>
          <w:p w:rsidR="006A291C" w:rsidRPr="000C1EA6" w:rsidRDefault="006A291C" w:rsidP="00E01698">
            <w:pPr>
              <w:rPr>
                <w:rFonts w:eastAsia="Times New Roman" w:cs="Times New Roman"/>
                <w:b/>
                <w:sz w:val="20"/>
                <w:szCs w:val="20"/>
                <w:lang w:eastAsia="cs-CZ"/>
              </w:rPr>
            </w:pPr>
            <w:r w:rsidRPr="000C1EA6">
              <w:rPr>
                <w:rFonts w:eastAsia="Times New Roman" w:cs="Times New Roman"/>
                <w:b/>
                <w:sz w:val="20"/>
                <w:szCs w:val="20"/>
                <w:lang w:eastAsia="cs-CZ"/>
              </w:rPr>
              <w:t>69,1</w:t>
            </w:r>
            <w:r w:rsidR="00F93571" w:rsidRPr="000C1EA6">
              <w:rPr>
                <w:rFonts w:eastAsia="Times New Roman" w:cs="Times New Roman"/>
                <w:b/>
                <w:sz w:val="20"/>
                <w:szCs w:val="20"/>
                <w:lang w:eastAsia="cs-CZ"/>
              </w:rPr>
              <w:t xml:space="preserve"> </w:t>
            </w:r>
            <w:r w:rsidRPr="000C1EA6">
              <w:rPr>
                <w:rFonts w:eastAsia="Times New Roman" w:cs="Times New Roman"/>
                <w:b/>
                <w:sz w:val="20"/>
                <w:szCs w:val="20"/>
                <w:lang w:eastAsia="cs-CZ"/>
              </w:rPr>
              <w:t>%</w:t>
            </w:r>
          </w:p>
        </w:tc>
      </w:tr>
      <w:tr w:rsidR="006A291C" w:rsidRPr="00CF225B" w:rsidTr="001545FF">
        <w:trPr>
          <w:trHeight w:val="284"/>
        </w:trPr>
        <w:tc>
          <w:tcPr>
            <w:tcW w:w="5442" w:type="dxa"/>
            <w:gridSpan w:val="2"/>
            <w:tcBorders>
              <w:top w:val="single" w:sz="4" w:space="0" w:color="AEAEAE"/>
              <w:left w:val="single" w:sz="4" w:space="0" w:color="auto"/>
              <w:bottom w:val="single" w:sz="4" w:space="0" w:color="auto"/>
              <w:right w:val="nil"/>
            </w:tcBorders>
            <w:shd w:val="clear" w:color="auto" w:fill="auto"/>
            <w:vAlign w:val="center"/>
            <w:hideMark/>
          </w:tcPr>
          <w:p w:rsidR="006A291C" w:rsidRPr="000C1EA6" w:rsidRDefault="006A291C" w:rsidP="00E01698">
            <w:pPr>
              <w:rPr>
                <w:rFonts w:eastAsia="Times New Roman" w:cs="Times New Roman"/>
                <w:sz w:val="20"/>
                <w:szCs w:val="20"/>
                <w:lang w:eastAsia="cs-CZ"/>
              </w:rPr>
            </w:pPr>
            <w:r w:rsidRPr="000C1EA6">
              <w:rPr>
                <w:rFonts w:eastAsia="Times New Roman" w:cs="Times New Roman"/>
                <w:sz w:val="20"/>
                <w:szCs w:val="20"/>
                <w:lang w:eastAsia="cs-CZ"/>
              </w:rPr>
              <w:t>Total</w:t>
            </w:r>
          </w:p>
        </w:tc>
        <w:tc>
          <w:tcPr>
            <w:tcW w:w="1210" w:type="dxa"/>
            <w:tcBorders>
              <w:top w:val="nil"/>
              <w:left w:val="nil"/>
              <w:bottom w:val="single" w:sz="4" w:space="0" w:color="auto"/>
              <w:right w:val="nil"/>
            </w:tcBorders>
            <w:shd w:val="clear" w:color="auto" w:fill="auto"/>
            <w:noWrap/>
            <w:vAlign w:val="center"/>
            <w:hideMark/>
          </w:tcPr>
          <w:p w:rsidR="006A291C" w:rsidRPr="000C1EA6" w:rsidRDefault="006A291C" w:rsidP="00E01698">
            <w:pPr>
              <w:rPr>
                <w:rFonts w:eastAsia="Times New Roman" w:cs="Times New Roman"/>
                <w:sz w:val="20"/>
                <w:szCs w:val="20"/>
                <w:lang w:eastAsia="cs-CZ"/>
              </w:rPr>
            </w:pPr>
            <w:r w:rsidRPr="000C1EA6">
              <w:rPr>
                <w:rFonts w:eastAsia="Times New Roman" w:cs="Times New Roman"/>
                <w:sz w:val="20"/>
                <w:szCs w:val="20"/>
                <w:lang w:eastAsia="cs-CZ"/>
              </w:rPr>
              <w:t>100,0</w:t>
            </w:r>
            <w:r w:rsidR="00F93571" w:rsidRPr="000C1EA6">
              <w:rPr>
                <w:rFonts w:eastAsia="Times New Roman" w:cs="Times New Roman"/>
                <w:sz w:val="20"/>
                <w:szCs w:val="20"/>
                <w:lang w:eastAsia="cs-CZ"/>
              </w:rPr>
              <w:t xml:space="preserve"> </w:t>
            </w:r>
            <w:r w:rsidRPr="000C1EA6">
              <w:rPr>
                <w:rFonts w:eastAsia="Times New Roman" w:cs="Times New Roman"/>
                <w:sz w:val="20"/>
                <w:szCs w:val="20"/>
                <w:lang w:eastAsia="cs-CZ"/>
              </w:rPr>
              <w:t>%</w:t>
            </w:r>
          </w:p>
        </w:tc>
        <w:tc>
          <w:tcPr>
            <w:tcW w:w="1210" w:type="dxa"/>
            <w:tcBorders>
              <w:top w:val="nil"/>
              <w:left w:val="nil"/>
              <w:bottom w:val="single" w:sz="4" w:space="0" w:color="auto"/>
              <w:right w:val="nil"/>
            </w:tcBorders>
            <w:shd w:val="clear" w:color="auto" w:fill="auto"/>
            <w:noWrap/>
            <w:vAlign w:val="center"/>
            <w:hideMark/>
          </w:tcPr>
          <w:p w:rsidR="006A291C" w:rsidRPr="000C1EA6" w:rsidRDefault="006A291C" w:rsidP="00E01698">
            <w:pPr>
              <w:rPr>
                <w:rFonts w:eastAsia="Times New Roman" w:cs="Times New Roman"/>
                <w:sz w:val="20"/>
                <w:szCs w:val="20"/>
                <w:lang w:eastAsia="cs-CZ"/>
              </w:rPr>
            </w:pPr>
            <w:r w:rsidRPr="000C1EA6">
              <w:rPr>
                <w:rFonts w:eastAsia="Times New Roman" w:cs="Times New Roman"/>
                <w:sz w:val="20"/>
                <w:szCs w:val="20"/>
                <w:lang w:eastAsia="cs-CZ"/>
              </w:rPr>
              <w:t>100,0</w:t>
            </w:r>
            <w:r w:rsidR="00F93571" w:rsidRPr="000C1EA6">
              <w:rPr>
                <w:rFonts w:eastAsia="Times New Roman" w:cs="Times New Roman"/>
                <w:sz w:val="20"/>
                <w:szCs w:val="20"/>
                <w:lang w:eastAsia="cs-CZ"/>
              </w:rPr>
              <w:t xml:space="preserve"> </w:t>
            </w:r>
            <w:r w:rsidRPr="000C1EA6">
              <w:rPr>
                <w:rFonts w:eastAsia="Times New Roman" w:cs="Times New Roman"/>
                <w:sz w:val="20"/>
                <w:szCs w:val="20"/>
                <w:lang w:eastAsia="cs-CZ"/>
              </w:rPr>
              <w:t>%</w:t>
            </w:r>
          </w:p>
        </w:tc>
        <w:tc>
          <w:tcPr>
            <w:tcW w:w="1210" w:type="dxa"/>
            <w:tcBorders>
              <w:top w:val="nil"/>
              <w:left w:val="nil"/>
              <w:bottom w:val="single" w:sz="4" w:space="0" w:color="auto"/>
              <w:right w:val="single" w:sz="4" w:space="0" w:color="auto"/>
            </w:tcBorders>
            <w:shd w:val="clear" w:color="auto" w:fill="auto"/>
            <w:noWrap/>
            <w:vAlign w:val="center"/>
            <w:hideMark/>
          </w:tcPr>
          <w:p w:rsidR="006A291C" w:rsidRPr="000C1EA6" w:rsidRDefault="006A291C" w:rsidP="00E01698">
            <w:pPr>
              <w:rPr>
                <w:rFonts w:eastAsia="Times New Roman" w:cs="Times New Roman"/>
                <w:sz w:val="20"/>
                <w:szCs w:val="20"/>
                <w:lang w:eastAsia="cs-CZ"/>
              </w:rPr>
            </w:pPr>
            <w:r w:rsidRPr="000C1EA6">
              <w:rPr>
                <w:rFonts w:eastAsia="Times New Roman" w:cs="Times New Roman"/>
                <w:sz w:val="20"/>
                <w:szCs w:val="20"/>
                <w:lang w:eastAsia="cs-CZ"/>
              </w:rPr>
              <w:t>100,0</w:t>
            </w:r>
            <w:r w:rsidR="00F93571" w:rsidRPr="000C1EA6">
              <w:rPr>
                <w:rFonts w:eastAsia="Times New Roman" w:cs="Times New Roman"/>
                <w:sz w:val="20"/>
                <w:szCs w:val="20"/>
                <w:lang w:eastAsia="cs-CZ"/>
              </w:rPr>
              <w:t xml:space="preserve"> </w:t>
            </w:r>
            <w:r w:rsidRPr="000C1EA6">
              <w:rPr>
                <w:rFonts w:eastAsia="Times New Roman" w:cs="Times New Roman"/>
                <w:sz w:val="20"/>
                <w:szCs w:val="20"/>
                <w:lang w:eastAsia="cs-CZ"/>
              </w:rPr>
              <w:t>%</w:t>
            </w:r>
          </w:p>
        </w:tc>
      </w:tr>
    </w:tbl>
    <w:p w:rsidR="006A291C" w:rsidRPr="00CF225B" w:rsidRDefault="006A291C" w:rsidP="00E01698">
      <w:pPr>
        <w:rPr>
          <w:rFonts w:cs="Times New Roman"/>
          <w:b/>
          <w:szCs w:val="24"/>
        </w:rPr>
      </w:pPr>
    </w:p>
    <w:p w:rsidR="0060169A" w:rsidRPr="00CF225B" w:rsidRDefault="0060169A" w:rsidP="00E01698">
      <w:pPr>
        <w:rPr>
          <w:rFonts w:cs="Times New Roman"/>
          <w:szCs w:val="24"/>
        </w:rPr>
      </w:pPr>
      <w:r w:rsidRPr="00CF225B">
        <w:rPr>
          <w:rFonts w:cs="Times New Roman"/>
          <w:szCs w:val="24"/>
        </w:rPr>
        <w:t>Deficit nutné hotovosti (tedy relativní četnost podniků, které měly vyšší hotovost než hotovost nutnou)</w:t>
      </w:r>
      <w:r w:rsidR="001545FF">
        <w:rPr>
          <w:rFonts w:cs="Times New Roman"/>
          <w:szCs w:val="24"/>
        </w:rPr>
        <w:t>,</w:t>
      </w:r>
      <w:r w:rsidRPr="00CF225B">
        <w:rPr>
          <w:rFonts w:cs="Times New Roman"/>
          <w:szCs w:val="24"/>
        </w:rPr>
        <w:t xml:space="preserve"> převažoval ve všech třech letech před zjištěním úpadku. Z toho lze usoudit, že většina podniku se potýkala </w:t>
      </w:r>
      <w:r w:rsidR="00C60959" w:rsidRPr="00CF225B">
        <w:rPr>
          <w:rFonts w:cs="Times New Roman"/>
          <w:szCs w:val="24"/>
        </w:rPr>
        <w:t>s</w:t>
      </w:r>
      <w:r w:rsidRPr="00CF225B">
        <w:rPr>
          <w:rFonts w:cs="Times New Roman"/>
          <w:szCs w:val="24"/>
        </w:rPr>
        <w:t> problémy v oblasti likvidity již tři roky před úpadkem a tato situace se zhoršovala.</w:t>
      </w:r>
    </w:p>
    <w:p w:rsidR="002A6372" w:rsidRDefault="002A6372" w:rsidP="004C37F5">
      <w:pPr>
        <w:spacing w:before="120" w:after="240" w:line="240" w:lineRule="auto"/>
        <w:rPr>
          <w:szCs w:val="24"/>
        </w:rPr>
      </w:pPr>
    </w:p>
    <w:p w:rsidR="009B43E3" w:rsidRDefault="009B43E3" w:rsidP="00FF0D08">
      <w:pPr>
        <w:rPr>
          <w:b/>
        </w:rPr>
      </w:pPr>
      <w:r w:rsidRPr="00FF0D08">
        <w:rPr>
          <w:b/>
        </w:rPr>
        <w:t>Polarita salda aktivních a pasivních nepeněžních složek pracovního kapitálu</w:t>
      </w:r>
    </w:p>
    <w:p w:rsidR="001545FF" w:rsidRDefault="001545FF" w:rsidP="001545FF">
      <w:pPr>
        <w:pStyle w:val="Titulek"/>
        <w:keepNext/>
      </w:pPr>
      <w:bookmarkStart w:id="118" w:name="_Toc31054821"/>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45</w:t>
      </w:r>
      <w:r w:rsidR="00163A91">
        <w:rPr>
          <w:noProof/>
        </w:rPr>
        <w:fldChar w:fldCharType="end"/>
      </w:r>
      <w:r>
        <w:t xml:space="preserve"> Polarita salda aktivních a pasivních nepeněžních složek pracovního kapitálu</w:t>
      </w:r>
      <w:bookmarkEnd w:id="118"/>
    </w:p>
    <w:tbl>
      <w:tblPr>
        <w:tblW w:w="9072" w:type="dxa"/>
        <w:tblCellMar>
          <w:left w:w="70" w:type="dxa"/>
          <w:right w:w="70" w:type="dxa"/>
        </w:tblCellMar>
        <w:tblLook w:val="04A0"/>
      </w:tblPr>
      <w:tblGrid>
        <w:gridCol w:w="2829"/>
        <w:gridCol w:w="2613"/>
        <w:gridCol w:w="1210"/>
        <w:gridCol w:w="1210"/>
        <w:gridCol w:w="1210"/>
      </w:tblGrid>
      <w:tr w:rsidR="00E75770" w:rsidRPr="00E75770" w:rsidTr="001545FF">
        <w:trPr>
          <w:trHeight w:val="284"/>
        </w:trPr>
        <w:tc>
          <w:tcPr>
            <w:tcW w:w="5442" w:type="dxa"/>
            <w:gridSpan w:val="2"/>
            <w:tcBorders>
              <w:top w:val="single" w:sz="4" w:space="0" w:color="auto"/>
              <w:left w:val="single" w:sz="4" w:space="0" w:color="auto"/>
              <w:bottom w:val="single" w:sz="4" w:space="0" w:color="auto"/>
              <w:right w:val="nil"/>
            </w:tcBorders>
            <w:shd w:val="clear" w:color="auto" w:fill="auto"/>
            <w:vAlign w:val="center"/>
            <w:hideMark/>
          </w:tcPr>
          <w:p w:rsidR="00E75770" w:rsidRPr="00E75770" w:rsidRDefault="00E75770" w:rsidP="000C1EA6">
            <w:pPr>
              <w:rPr>
                <w:rFonts w:eastAsia="Times New Roman" w:cs="Calibri"/>
                <w:sz w:val="18"/>
                <w:szCs w:val="18"/>
                <w:lang w:eastAsia="cs-CZ"/>
              </w:rPr>
            </w:pPr>
            <w:r w:rsidRPr="00E75770">
              <w:rPr>
                <w:rFonts w:eastAsia="Times New Roman" w:cs="Calibri"/>
                <w:sz w:val="18"/>
                <w:szCs w:val="18"/>
                <w:lang w:eastAsia="cs-CZ"/>
              </w:rPr>
              <w:t> </w:t>
            </w:r>
          </w:p>
        </w:tc>
        <w:tc>
          <w:tcPr>
            <w:tcW w:w="121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0C1EA6">
            <w:pPr>
              <w:rPr>
                <w:rFonts w:eastAsia="Times New Roman" w:cs="Calibri"/>
                <w:color w:val="264A60"/>
                <w:sz w:val="18"/>
                <w:szCs w:val="18"/>
                <w:lang w:eastAsia="cs-CZ"/>
              </w:rPr>
            </w:pPr>
            <w:r w:rsidRPr="00E75770">
              <w:rPr>
                <w:rFonts w:eastAsia="Times New Roman" w:cs="Calibri"/>
                <w:color w:val="264A60"/>
                <w:sz w:val="18"/>
                <w:szCs w:val="18"/>
                <w:lang w:eastAsia="cs-CZ"/>
              </w:rPr>
              <w:t>1 rok před úpadkem</w:t>
            </w:r>
          </w:p>
        </w:tc>
        <w:tc>
          <w:tcPr>
            <w:tcW w:w="121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0C1EA6">
            <w:pPr>
              <w:rPr>
                <w:rFonts w:eastAsia="Times New Roman" w:cs="Calibri"/>
                <w:color w:val="264A60"/>
                <w:sz w:val="18"/>
                <w:szCs w:val="18"/>
                <w:lang w:eastAsia="cs-CZ"/>
              </w:rPr>
            </w:pPr>
            <w:r w:rsidRPr="00E75770">
              <w:rPr>
                <w:rFonts w:eastAsia="Times New Roman" w:cs="Calibri"/>
                <w:color w:val="264A60"/>
                <w:sz w:val="18"/>
                <w:szCs w:val="18"/>
                <w:lang w:eastAsia="cs-CZ"/>
              </w:rPr>
              <w:t>2 roky před úpadkem</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E75770" w:rsidRPr="00E75770" w:rsidRDefault="00E75770" w:rsidP="000C1EA6">
            <w:pPr>
              <w:rPr>
                <w:rFonts w:eastAsia="Times New Roman" w:cs="Calibri"/>
                <w:color w:val="264A60"/>
                <w:sz w:val="18"/>
                <w:szCs w:val="18"/>
                <w:lang w:eastAsia="cs-CZ"/>
              </w:rPr>
            </w:pPr>
            <w:r w:rsidRPr="00E75770">
              <w:rPr>
                <w:rFonts w:eastAsia="Times New Roman" w:cs="Calibri"/>
                <w:color w:val="264A60"/>
                <w:sz w:val="18"/>
                <w:szCs w:val="18"/>
                <w:lang w:eastAsia="cs-CZ"/>
              </w:rPr>
              <w:t>3 roky před úpadkem</w:t>
            </w:r>
          </w:p>
        </w:tc>
      </w:tr>
      <w:tr w:rsidR="00E75770" w:rsidRPr="00E75770" w:rsidTr="001545FF">
        <w:trPr>
          <w:trHeight w:val="284"/>
        </w:trPr>
        <w:tc>
          <w:tcPr>
            <w:tcW w:w="2829"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0C1EA6">
            <w:pPr>
              <w:rPr>
                <w:rFonts w:eastAsia="Times New Roman" w:cs="Calibri"/>
                <w:sz w:val="18"/>
                <w:szCs w:val="18"/>
                <w:lang w:eastAsia="cs-CZ"/>
              </w:rPr>
            </w:pPr>
            <w:r w:rsidRPr="00E75770">
              <w:rPr>
                <w:rFonts w:eastAsia="Times New Roman" w:cs="Calibri"/>
                <w:sz w:val="18"/>
                <w:szCs w:val="18"/>
                <w:lang w:eastAsia="cs-CZ"/>
              </w:rPr>
              <w:t>Polarita salda primárních NSPK</w:t>
            </w:r>
          </w:p>
        </w:tc>
        <w:tc>
          <w:tcPr>
            <w:tcW w:w="2613" w:type="dxa"/>
            <w:tcBorders>
              <w:top w:val="nil"/>
              <w:left w:val="nil"/>
              <w:bottom w:val="single" w:sz="4" w:space="0" w:color="AEAEAE"/>
              <w:right w:val="nil"/>
            </w:tcBorders>
            <w:shd w:val="clear" w:color="auto" w:fill="auto"/>
            <w:vAlign w:val="center"/>
            <w:hideMark/>
          </w:tcPr>
          <w:p w:rsidR="00E75770" w:rsidRPr="00B329D3" w:rsidRDefault="00E75770" w:rsidP="000C1EA6">
            <w:pPr>
              <w:rPr>
                <w:rFonts w:eastAsia="Times New Roman" w:cs="Calibri"/>
                <w:b/>
                <w:sz w:val="18"/>
                <w:szCs w:val="18"/>
                <w:lang w:eastAsia="cs-CZ"/>
              </w:rPr>
            </w:pPr>
            <w:r w:rsidRPr="00B329D3">
              <w:rPr>
                <w:rFonts w:eastAsia="Times New Roman" w:cs="Calibri"/>
                <w:b/>
                <w:sz w:val="18"/>
                <w:szCs w:val="18"/>
                <w:lang w:eastAsia="cs-CZ"/>
              </w:rPr>
              <w:t>Kladné primární NSPK</w:t>
            </w:r>
          </w:p>
        </w:tc>
        <w:tc>
          <w:tcPr>
            <w:tcW w:w="1210" w:type="dxa"/>
            <w:tcBorders>
              <w:top w:val="single" w:sz="4" w:space="0" w:color="152935"/>
              <w:left w:val="nil"/>
              <w:bottom w:val="single" w:sz="4" w:space="0" w:color="AEAEAE"/>
              <w:right w:val="nil"/>
            </w:tcBorders>
            <w:shd w:val="clear" w:color="auto" w:fill="auto"/>
            <w:noWrap/>
            <w:vAlign w:val="center"/>
            <w:hideMark/>
          </w:tcPr>
          <w:p w:rsidR="00E75770" w:rsidRPr="00B329D3" w:rsidRDefault="00E75770" w:rsidP="000C1EA6">
            <w:pPr>
              <w:rPr>
                <w:rFonts w:eastAsia="Times New Roman" w:cs="Calibri"/>
                <w:b/>
                <w:sz w:val="18"/>
                <w:szCs w:val="18"/>
                <w:lang w:eastAsia="cs-CZ"/>
              </w:rPr>
            </w:pPr>
            <w:r w:rsidRPr="00B329D3">
              <w:rPr>
                <w:rFonts w:eastAsia="Times New Roman" w:cs="Calibri"/>
                <w:b/>
                <w:sz w:val="18"/>
                <w:szCs w:val="18"/>
                <w:lang w:eastAsia="cs-CZ"/>
              </w:rPr>
              <w:t>61,1</w:t>
            </w:r>
            <w:r w:rsidR="00F93571">
              <w:rPr>
                <w:rFonts w:eastAsia="Times New Roman" w:cs="Calibri"/>
                <w:b/>
                <w:sz w:val="18"/>
                <w:szCs w:val="18"/>
                <w:lang w:eastAsia="cs-CZ"/>
              </w:rPr>
              <w:t xml:space="preserve"> </w:t>
            </w:r>
            <w:r w:rsidRPr="00B329D3">
              <w:rPr>
                <w:rFonts w:eastAsia="Times New Roman" w:cs="Calibri"/>
                <w:b/>
                <w:sz w:val="18"/>
                <w:szCs w:val="18"/>
                <w:lang w:eastAsia="cs-CZ"/>
              </w:rPr>
              <w:t>%</w:t>
            </w:r>
          </w:p>
        </w:tc>
        <w:tc>
          <w:tcPr>
            <w:tcW w:w="1210" w:type="dxa"/>
            <w:tcBorders>
              <w:top w:val="single" w:sz="4" w:space="0" w:color="152935"/>
              <w:left w:val="nil"/>
              <w:bottom w:val="single" w:sz="4" w:space="0" w:color="AEAEAE"/>
              <w:right w:val="nil"/>
            </w:tcBorders>
            <w:shd w:val="clear" w:color="auto" w:fill="auto"/>
            <w:noWrap/>
            <w:vAlign w:val="center"/>
            <w:hideMark/>
          </w:tcPr>
          <w:p w:rsidR="00E75770" w:rsidRPr="00B329D3" w:rsidRDefault="00E75770" w:rsidP="000C1EA6">
            <w:pPr>
              <w:rPr>
                <w:rFonts w:eastAsia="Times New Roman" w:cs="Calibri"/>
                <w:b/>
                <w:sz w:val="18"/>
                <w:szCs w:val="18"/>
                <w:lang w:eastAsia="cs-CZ"/>
              </w:rPr>
            </w:pPr>
            <w:r w:rsidRPr="00B329D3">
              <w:rPr>
                <w:rFonts w:eastAsia="Times New Roman" w:cs="Calibri"/>
                <w:b/>
                <w:sz w:val="18"/>
                <w:szCs w:val="18"/>
                <w:lang w:eastAsia="cs-CZ"/>
              </w:rPr>
              <w:t>67,1</w:t>
            </w:r>
            <w:r w:rsidR="003162BC">
              <w:rPr>
                <w:rFonts w:eastAsia="Times New Roman" w:cs="Calibri"/>
                <w:b/>
                <w:sz w:val="18"/>
                <w:szCs w:val="18"/>
                <w:lang w:eastAsia="cs-CZ"/>
              </w:rPr>
              <w:t xml:space="preserve"> </w:t>
            </w:r>
            <w:r w:rsidRPr="00B329D3">
              <w:rPr>
                <w:rFonts w:eastAsia="Times New Roman" w:cs="Calibri"/>
                <w:b/>
                <w:sz w:val="18"/>
                <w:szCs w:val="18"/>
                <w:lang w:eastAsia="cs-CZ"/>
              </w:rPr>
              <w:t>%</w:t>
            </w:r>
          </w:p>
        </w:tc>
        <w:tc>
          <w:tcPr>
            <w:tcW w:w="121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B329D3" w:rsidRDefault="00E75770" w:rsidP="000C1EA6">
            <w:pPr>
              <w:rPr>
                <w:rFonts w:eastAsia="Times New Roman" w:cs="Calibri"/>
                <w:b/>
                <w:sz w:val="18"/>
                <w:szCs w:val="18"/>
                <w:lang w:eastAsia="cs-CZ"/>
              </w:rPr>
            </w:pPr>
            <w:r w:rsidRPr="00B329D3">
              <w:rPr>
                <w:rFonts w:eastAsia="Times New Roman" w:cs="Calibri"/>
                <w:b/>
                <w:sz w:val="18"/>
                <w:szCs w:val="18"/>
                <w:lang w:eastAsia="cs-CZ"/>
              </w:rPr>
              <w:t>71,7</w:t>
            </w:r>
            <w:r w:rsidR="003162BC">
              <w:rPr>
                <w:rFonts w:eastAsia="Times New Roman" w:cs="Calibri"/>
                <w:b/>
                <w:sz w:val="18"/>
                <w:szCs w:val="18"/>
                <w:lang w:eastAsia="cs-CZ"/>
              </w:rPr>
              <w:t xml:space="preserve"> </w:t>
            </w:r>
            <w:r w:rsidRPr="00B329D3">
              <w:rPr>
                <w:rFonts w:eastAsia="Times New Roman" w:cs="Calibri"/>
                <w:b/>
                <w:sz w:val="18"/>
                <w:szCs w:val="18"/>
                <w:lang w:eastAsia="cs-CZ"/>
              </w:rPr>
              <w:t>%</w:t>
            </w:r>
          </w:p>
        </w:tc>
      </w:tr>
      <w:tr w:rsidR="00E75770" w:rsidRPr="00E75770" w:rsidTr="001545FF">
        <w:trPr>
          <w:trHeight w:val="284"/>
        </w:trPr>
        <w:tc>
          <w:tcPr>
            <w:tcW w:w="2829" w:type="dxa"/>
            <w:vMerge/>
            <w:tcBorders>
              <w:top w:val="nil"/>
              <w:left w:val="single" w:sz="4" w:space="0" w:color="auto"/>
              <w:bottom w:val="single" w:sz="4" w:space="0" w:color="AEAEAE"/>
              <w:right w:val="nil"/>
            </w:tcBorders>
            <w:vAlign w:val="center"/>
            <w:hideMark/>
          </w:tcPr>
          <w:p w:rsidR="00E75770" w:rsidRPr="00E75770" w:rsidRDefault="00E75770" w:rsidP="000C1EA6">
            <w:pPr>
              <w:rPr>
                <w:rFonts w:eastAsia="Times New Roman" w:cs="Calibri"/>
                <w:sz w:val="18"/>
                <w:szCs w:val="18"/>
                <w:lang w:eastAsia="cs-CZ"/>
              </w:rPr>
            </w:pPr>
          </w:p>
        </w:tc>
        <w:tc>
          <w:tcPr>
            <w:tcW w:w="2613" w:type="dxa"/>
            <w:tcBorders>
              <w:top w:val="nil"/>
              <w:left w:val="nil"/>
              <w:bottom w:val="single" w:sz="4" w:space="0" w:color="AEAEAE"/>
              <w:right w:val="nil"/>
            </w:tcBorders>
            <w:shd w:val="clear" w:color="auto" w:fill="auto"/>
            <w:vAlign w:val="center"/>
            <w:hideMark/>
          </w:tcPr>
          <w:p w:rsidR="00E75770" w:rsidRPr="00E75770" w:rsidRDefault="00E75770" w:rsidP="000C1EA6">
            <w:pPr>
              <w:rPr>
                <w:rFonts w:eastAsia="Times New Roman" w:cs="Calibri"/>
                <w:sz w:val="18"/>
                <w:szCs w:val="18"/>
                <w:lang w:eastAsia="cs-CZ"/>
              </w:rPr>
            </w:pPr>
            <w:r w:rsidRPr="00E75770">
              <w:rPr>
                <w:rFonts w:eastAsia="Times New Roman" w:cs="Calibri"/>
                <w:sz w:val="18"/>
                <w:szCs w:val="18"/>
                <w:lang w:eastAsia="cs-CZ"/>
              </w:rPr>
              <w:t>Záporné primární NSPK</w:t>
            </w:r>
          </w:p>
        </w:tc>
        <w:tc>
          <w:tcPr>
            <w:tcW w:w="1210" w:type="dxa"/>
            <w:tcBorders>
              <w:top w:val="nil"/>
              <w:left w:val="nil"/>
              <w:bottom w:val="single" w:sz="4" w:space="0" w:color="AEAEAE"/>
              <w:right w:val="nil"/>
            </w:tcBorders>
            <w:shd w:val="clear" w:color="auto" w:fill="auto"/>
            <w:noWrap/>
            <w:vAlign w:val="center"/>
            <w:hideMark/>
          </w:tcPr>
          <w:p w:rsidR="00E75770" w:rsidRPr="00E75770" w:rsidRDefault="00E75770" w:rsidP="000C1EA6">
            <w:pPr>
              <w:rPr>
                <w:rFonts w:eastAsia="Times New Roman" w:cs="Calibri"/>
                <w:sz w:val="18"/>
                <w:szCs w:val="18"/>
                <w:lang w:eastAsia="cs-CZ"/>
              </w:rPr>
            </w:pPr>
            <w:r w:rsidRPr="00E75770">
              <w:rPr>
                <w:rFonts w:eastAsia="Times New Roman" w:cs="Calibri"/>
                <w:sz w:val="18"/>
                <w:szCs w:val="18"/>
                <w:lang w:eastAsia="cs-CZ"/>
              </w:rPr>
              <w:t>38,9</w:t>
            </w:r>
            <w:r w:rsidR="00F93571">
              <w:rPr>
                <w:rFonts w:eastAsia="Times New Roman" w:cs="Calibri"/>
                <w:sz w:val="18"/>
                <w:szCs w:val="18"/>
                <w:lang w:eastAsia="cs-CZ"/>
              </w:rPr>
              <w:t xml:space="preserve"> </w:t>
            </w:r>
            <w:r w:rsidRPr="00E75770">
              <w:rPr>
                <w:rFonts w:eastAsia="Times New Roman" w:cs="Calibri"/>
                <w:sz w:val="18"/>
                <w:szCs w:val="18"/>
                <w:lang w:eastAsia="cs-CZ"/>
              </w:rPr>
              <w:t>%</w:t>
            </w:r>
          </w:p>
        </w:tc>
        <w:tc>
          <w:tcPr>
            <w:tcW w:w="1210" w:type="dxa"/>
            <w:tcBorders>
              <w:top w:val="nil"/>
              <w:left w:val="nil"/>
              <w:bottom w:val="single" w:sz="4" w:space="0" w:color="AEAEAE"/>
              <w:right w:val="nil"/>
            </w:tcBorders>
            <w:shd w:val="clear" w:color="auto" w:fill="auto"/>
            <w:noWrap/>
            <w:vAlign w:val="center"/>
            <w:hideMark/>
          </w:tcPr>
          <w:p w:rsidR="00E75770" w:rsidRPr="00E75770" w:rsidRDefault="00E75770" w:rsidP="000C1EA6">
            <w:pPr>
              <w:rPr>
                <w:rFonts w:eastAsia="Times New Roman" w:cs="Calibri"/>
                <w:sz w:val="18"/>
                <w:szCs w:val="18"/>
                <w:lang w:eastAsia="cs-CZ"/>
              </w:rPr>
            </w:pPr>
            <w:r w:rsidRPr="00E75770">
              <w:rPr>
                <w:rFonts w:eastAsia="Times New Roman" w:cs="Calibri"/>
                <w:sz w:val="18"/>
                <w:szCs w:val="18"/>
                <w:lang w:eastAsia="cs-CZ"/>
              </w:rPr>
              <w:t>32,9</w:t>
            </w:r>
            <w:r w:rsidR="003162BC">
              <w:rPr>
                <w:rFonts w:eastAsia="Times New Roman" w:cs="Calibri"/>
                <w:sz w:val="18"/>
                <w:szCs w:val="18"/>
                <w:lang w:eastAsia="cs-CZ"/>
              </w:rPr>
              <w:t xml:space="preserve"> </w:t>
            </w:r>
            <w:r w:rsidRPr="00E75770">
              <w:rPr>
                <w:rFonts w:eastAsia="Times New Roman" w:cs="Calibri"/>
                <w:sz w:val="18"/>
                <w:szCs w:val="18"/>
                <w:lang w:eastAsia="cs-CZ"/>
              </w:rPr>
              <w:t>%</w:t>
            </w:r>
          </w:p>
        </w:tc>
        <w:tc>
          <w:tcPr>
            <w:tcW w:w="1210" w:type="dxa"/>
            <w:tcBorders>
              <w:top w:val="nil"/>
              <w:left w:val="nil"/>
              <w:bottom w:val="single" w:sz="4" w:space="0" w:color="AEAEAE"/>
              <w:right w:val="single" w:sz="4" w:space="0" w:color="auto"/>
            </w:tcBorders>
            <w:shd w:val="clear" w:color="auto" w:fill="auto"/>
            <w:noWrap/>
            <w:vAlign w:val="center"/>
            <w:hideMark/>
          </w:tcPr>
          <w:p w:rsidR="00E75770" w:rsidRPr="00E75770" w:rsidRDefault="00E75770" w:rsidP="000C1EA6">
            <w:pPr>
              <w:rPr>
                <w:rFonts w:eastAsia="Times New Roman" w:cs="Calibri"/>
                <w:sz w:val="18"/>
                <w:szCs w:val="18"/>
                <w:lang w:eastAsia="cs-CZ"/>
              </w:rPr>
            </w:pPr>
            <w:r w:rsidRPr="00E75770">
              <w:rPr>
                <w:rFonts w:eastAsia="Times New Roman" w:cs="Calibri"/>
                <w:sz w:val="18"/>
                <w:szCs w:val="18"/>
                <w:lang w:eastAsia="cs-CZ"/>
              </w:rPr>
              <w:t>28,3</w:t>
            </w:r>
            <w:r w:rsidR="003162BC">
              <w:rPr>
                <w:rFonts w:eastAsia="Times New Roman" w:cs="Calibri"/>
                <w:sz w:val="18"/>
                <w:szCs w:val="18"/>
                <w:lang w:eastAsia="cs-CZ"/>
              </w:rPr>
              <w:t xml:space="preserve"> </w:t>
            </w:r>
            <w:r w:rsidRPr="00E75770">
              <w:rPr>
                <w:rFonts w:eastAsia="Times New Roman" w:cs="Calibri"/>
                <w:sz w:val="18"/>
                <w:szCs w:val="18"/>
                <w:lang w:eastAsia="cs-CZ"/>
              </w:rPr>
              <w:t>%</w:t>
            </w:r>
          </w:p>
        </w:tc>
      </w:tr>
      <w:tr w:rsidR="00E75770" w:rsidRPr="00E75770" w:rsidTr="001545FF">
        <w:trPr>
          <w:trHeight w:val="284"/>
        </w:trPr>
        <w:tc>
          <w:tcPr>
            <w:tcW w:w="5442"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0C1EA6">
            <w:pPr>
              <w:rPr>
                <w:rFonts w:eastAsia="Times New Roman" w:cs="Calibri"/>
                <w:sz w:val="18"/>
                <w:szCs w:val="18"/>
                <w:lang w:eastAsia="cs-CZ"/>
              </w:rPr>
            </w:pPr>
            <w:r w:rsidRPr="00E75770">
              <w:rPr>
                <w:rFonts w:eastAsia="Times New Roman" w:cs="Calibri"/>
                <w:sz w:val="18"/>
                <w:szCs w:val="18"/>
                <w:lang w:eastAsia="cs-CZ"/>
              </w:rPr>
              <w:t>Total</w:t>
            </w:r>
          </w:p>
        </w:tc>
        <w:tc>
          <w:tcPr>
            <w:tcW w:w="1210" w:type="dxa"/>
            <w:tcBorders>
              <w:top w:val="nil"/>
              <w:left w:val="nil"/>
              <w:bottom w:val="single" w:sz="4" w:space="0" w:color="auto"/>
              <w:right w:val="nil"/>
            </w:tcBorders>
            <w:shd w:val="clear" w:color="auto" w:fill="auto"/>
            <w:noWrap/>
            <w:vAlign w:val="center"/>
            <w:hideMark/>
          </w:tcPr>
          <w:p w:rsidR="00E75770" w:rsidRPr="00E75770" w:rsidRDefault="00E75770" w:rsidP="000C1EA6">
            <w:pPr>
              <w:rPr>
                <w:rFonts w:eastAsia="Times New Roman" w:cs="Calibri"/>
                <w:sz w:val="18"/>
                <w:szCs w:val="18"/>
                <w:lang w:eastAsia="cs-CZ"/>
              </w:rPr>
            </w:pPr>
            <w:r w:rsidRPr="00E75770">
              <w:rPr>
                <w:rFonts w:eastAsia="Times New Roman" w:cs="Calibri"/>
                <w:sz w:val="18"/>
                <w:szCs w:val="18"/>
                <w:lang w:eastAsia="cs-CZ"/>
              </w:rPr>
              <w:t>100,0</w:t>
            </w:r>
            <w:r w:rsidR="00F93571">
              <w:rPr>
                <w:rFonts w:eastAsia="Times New Roman" w:cs="Calibri"/>
                <w:sz w:val="18"/>
                <w:szCs w:val="18"/>
                <w:lang w:eastAsia="cs-CZ"/>
              </w:rPr>
              <w:t xml:space="preserve"> </w:t>
            </w:r>
            <w:r w:rsidRPr="00E75770">
              <w:rPr>
                <w:rFonts w:eastAsia="Times New Roman" w:cs="Calibri"/>
                <w:sz w:val="18"/>
                <w:szCs w:val="18"/>
                <w:lang w:eastAsia="cs-CZ"/>
              </w:rPr>
              <w:t>%</w:t>
            </w:r>
          </w:p>
        </w:tc>
        <w:tc>
          <w:tcPr>
            <w:tcW w:w="1210" w:type="dxa"/>
            <w:tcBorders>
              <w:top w:val="nil"/>
              <w:left w:val="nil"/>
              <w:bottom w:val="single" w:sz="4" w:space="0" w:color="auto"/>
              <w:right w:val="nil"/>
            </w:tcBorders>
            <w:shd w:val="clear" w:color="auto" w:fill="auto"/>
            <w:noWrap/>
            <w:vAlign w:val="center"/>
            <w:hideMark/>
          </w:tcPr>
          <w:p w:rsidR="00E75770" w:rsidRPr="00E75770" w:rsidRDefault="00E75770" w:rsidP="000C1EA6">
            <w:pPr>
              <w:rPr>
                <w:rFonts w:eastAsia="Times New Roman" w:cs="Calibri"/>
                <w:sz w:val="18"/>
                <w:szCs w:val="18"/>
                <w:lang w:eastAsia="cs-CZ"/>
              </w:rPr>
            </w:pPr>
            <w:r w:rsidRPr="00E75770">
              <w:rPr>
                <w:rFonts w:eastAsia="Times New Roman" w:cs="Calibri"/>
                <w:sz w:val="18"/>
                <w:szCs w:val="18"/>
                <w:lang w:eastAsia="cs-CZ"/>
              </w:rPr>
              <w:t>100,0</w:t>
            </w:r>
            <w:r w:rsidR="003162BC">
              <w:rPr>
                <w:rFonts w:eastAsia="Times New Roman" w:cs="Calibri"/>
                <w:sz w:val="18"/>
                <w:szCs w:val="18"/>
                <w:lang w:eastAsia="cs-CZ"/>
              </w:rPr>
              <w:t xml:space="preserve"> </w:t>
            </w:r>
            <w:r w:rsidRPr="00E75770">
              <w:rPr>
                <w:rFonts w:eastAsia="Times New Roman" w:cs="Calibri"/>
                <w:sz w:val="18"/>
                <w:szCs w:val="18"/>
                <w:lang w:eastAsia="cs-CZ"/>
              </w:rPr>
              <w:t>%</w:t>
            </w:r>
          </w:p>
        </w:tc>
        <w:tc>
          <w:tcPr>
            <w:tcW w:w="121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0C1EA6">
            <w:pPr>
              <w:rPr>
                <w:rFonts w:eastAsia="Times New Roman" w:cs="Calibri"/>
                <w:sz w:val="18"/>
                <w:szCs w:val="18"/>
                <w:lang w:eastAsia="cs-CZ"/>
              </w:rPr>
            </w:pPr>
            <w:r w:rsidRPr="00E75770">
              <w:rPr>
                <w:rFonts w:eastAsia="Times New Roman" w:cs="Calibri"/>
                <w:sz w:val="18"/>
                <w:szCs w:val="18"/>
                <w:lang w:eastAsia="cs-CZ"/>
              </w:rPr>
              <w:t>100,0</w:t>
            </w:r>
            <w:r w:rsidR="003162BC">
              <w:rPr>
                <w:rFonts w:eastAsia="Times New Roman" w:cs="Calibri"/>
                <w:sz w:val="18"/>
                <w:szCs w:val="18"/>
                <w:lang w:eastAsia="cs-CZ"/>
              </w:rPr>
              <w:t xml:space="preserve"> </w:t>
            </w:r>
            <w:r w:rsidRPr="00E75770">
              <w:rPr>
                <w:rFonts w:eastAsia="Times New Roman" w:cs="Calibri"/>
                <w:sz w:val="18"/>
                <w:szCs w:val="18"/>
                <w:lang w:eastAsia="cs-CZ"/>
              </w:rPr>
              <w:t>%</w:t>
            </w:r>
          </w:p>
        </w:tc>
      </w:tr>
      <w:tr w:rsidR="00E75770" w:rsidRPr="00E75770" w:rsidTr="001545FF">
        <w:trPr>
          <w:trHeight w:val="284"/>
        </w:trPr>
        <w:tc>
          <w:tcPr>
            <w:tcW w:w="2829"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0C1EA6">
            <w:pPr>
              <w:rPr>
                <w:rFonts w:eastAsia="Times New Roman" w:cs="Calibri"/>
                <w:sz w:val="18"/>
                <w:szCs w:val="18"/>
                <w:lang w:eastAsia="cs-CZ"/>
              </w:rPr>
            </w:pPr>
            <w:r w:rsidRPr="00E75770">
              <w:rPr>
                <w:rFonts w:eastAsia="Times New Roman" w:cs="Calibri"/>
                <w:sz w:val="18"/>
                <w:szCs w:val="18"/>
                <w:lang w:eastAsia="cs-CZ"/>
              </w:rPr>
              <w:t>Polarita celkových NSPK</w:t>
            </w:r>
          </w:p>
        </w:tc>
        <w:tc>
          <w:tcPr>
            <w:tcW w:w="2613" w:type="dxa"/>
            <w:tcBorders>
              <w:top w:val="nil"/>
              <w:left w:val="nil"/>
              <w:bottom w:val="single" w:sz="4" w:space="0" w:color="AEAEAE"/>
              <w:right w:val="nil"/>
            </w:tcBorders>
            <w:shd w:val="clear" w:color="auto" w:fill="auto"/>
            <w:vAlign w:val="center"/>
            <w:hideMark/>
          </w:tcPr>
          <w:p w:rsidR="00E75770" w:rsidRPr="00E75770" w:rsidRDefault="00E75770" w:rsidP="000C1EA6">
            <w:pPr>
              <w:rPr>
                <w:rFonts w:eastAsia="Times New Roman" w:cs="Calibri"/>
                <w:sz w:val="18"/>
                <w:szCs w:val="18"/>
                <w:lang w:eastAsia="cs-CZ"/>
              </w:rPr>
            </w:pPr>
            <w:r w:rsidRPr="00E75770">
              <w:rPr>
                <w:rFonts w:eastAsia="Times New Roman" w:cs="Calibri"/>
                <w:sz w:val="18"/>
                <w:szCs w:val="18"/>
                <w:lang w:eastAsia="cs-CZ"/>
              </w:rPr>
              <w:t>Kladné NSPK</w:t>
            </w:r>
          </w:p>
        </w:tc>
        <w:tc>
          <w:tcPr>
            <w:tcW w:w="121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0C1EA6">
            <w:pPr>
              <w:rPr>
                <w:rFonts w:eastAsia="Times New Roman" w:cs="Calibri"/>
                <w:sz w:val="18"/>
                <w:szCs w:val="18"/>
                <w:lang w:eastAsia="cs-CZ"/>
              </w:rPr>
            </w:pPr>
            <w:r w:rsidRPr="00E75770">
              <w:rPr>
                <w:rFonts w:eastAsia="Times New Roman" w:cs="Calibri"/>
                <w:sz w:val="18"/>
                <w:szCs w:val="18"/>
                <w:lang w:eastAsia="cs-CZ"/>
              </w:rPr>
              <w:t>24,8</w:t>
            </w:r>
            <w:r w:rsidR="00F93571">
              <w:rPr>
                <w:rFonts w:eastAsia="Times New Roman" w:cs="Calibri"/>
                <w:sz w:val="18"/>
                <w:szCs w:val="18"/>
                <w:lang w:eastAsia="cs-CZ"/>
              </w:rPr>
              <w:t xml:space="preserve"> </w:t>
            </w:r>
            <w:r w:rsidRPr="00E75770">
              <w:rPr>
                <w:rFonts w:eastAsia="Times New Roman" w:cs="Calibri"/>
                <w:sz w:val="18"/>
                <w:szCs w:val="18"/>
                <w:lang w:eastAsia="cs-CZ"/>
              </w:rPr>
              <w:t>%</w:t>
            </w:r>
          </w:p>
        </w:tc>
        <w:tc>
          <w:tcPr>
            <w:tcW w:w="121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0C1EA6">
            <w:pPr>
              <w:rPr>
                <w:rFonts w:eastAsia="Times New Roman" w:cs="Calibri"/>
                <w:sz w:val="18"/>
                <w:szCs w:val="18"/>
                <w:lang w:eastAsia="cs-CZ"/>
              </w:rPr>
            </w:pPr>
            <w:r w:rsidRPr="00E75770">
              <w:rPr>
                <w:rFonts w:eastAsia="Times New Roman" w:cs="Calibri"/>
                <w:sz w:val="18"/>
                <w:szCs w:val="18"/>
                <w:lang w:eastAsia="cs-CZ"/>
              </w:rPr>
              <w:t>38,1</w:t>
            </w:r>
            <w:r w:rsidR="003162BC">
              <w:rPr>
                <w:rFonts w:eastAsia="Times New Roman" w:cs="Calibri"/>
                <w:sz w:val="18"/>
                <w:szCs w:val="18"/>
                <w:lang w:eastAsia="cs-CZ"/>
              </w:rPr>
              <w:t xml:space="preserve"> </w:t>
            </w:r>
            <w:r w:rsidRPr="00E75770">
              <w:rPr>
                <w:rFonts w:eastAsia="Times New Roman" w:cs="Calibri"/>
                <w:sz w:val="18"/>
                <w:szCs w:val="18"/>
                <w:lang w:eastAsia="cs-CZ"/>
              </w:rPr>
              <w:t>%</w:t>
            </w:r>
          </w:p>
        </w:tc>
        <w:tc>
          <w:tcPr>
            <w:tcW w:w="121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E75770" w:rsidRDefault="00E75770" w:rsidP="000C1EA6">
            <w:pPr>
              <w:rPr>
                <w:rFonts w:eastAsia="Times New Roman" w:cs="Calibri"/>
                <w:sz w:val="18"/>
                <w:szCs w:val="18"/>
                <w:lang w:eastAsia="cs-CZ"/>
              </w:rPr>
            </w:pPr>
            <w:r w:rsidRPr="00E75770">
              <w:rPr>
                <w:rFonts w:eastAsia="Times New Roman" w:cs="Calibri"/>
                <w:sz w:val="18"/>
                <w:szCs w:val="18"/>
                <w:lang w:eastAsia="cs-CZ"/>
              </w:rPr>
              <w:t>43,8</w:t>
            </w:r>
            <w:r w:rsidR="003162BC">
              <w:rPr>
                <w:rFonts w:eastAsia="Times New Roman" w:cs="Calibri"/>
                <w:sz w:val="18"/>
                <w:szCs w:val="18"/>
                <w:lang w:eastAsia="cs-CZ"/>
              </w:rPr>
              <w:t xml:space="preserve"> </w:t>
            </w:r>
            <w:r w:rsidRPr="00E75770">
              <w:rPr>
                <w:rFonts w:eastAsia="Times New Roman" w:cs="Calibri"/>
                <w:sz w:val="18"/>
                <w:szCs w:val="18"/>
                <w:lang w:eastAsia="cs-CZ"/>
              </w:rPr>
              <w:t>%</w:t>
            </w:r>
          </w:p>
        </w:tc>
      </w:tr>
      <w:tr w:rsidR="00E75770" w:rsidRPr="00E75770" w:rsidTr="001545FF">
        <w:trPr>
          <w:trHeight w:val="284"/>
        </w:trPr>
        <w:tc>
          <w:tcPr>
            <w:tcW w:w="2829" w:type="dxa"/>
            <w:vMerge/>
            <w:tcBorders>
              <w:top w:val="nil"/>
              <w:left w:val="single" w:sz="4" w:space="0" w:color="auto"/>
              <w:bottom w:val="single" w:sz="4" w:space="0" w:color="AEAEAE"/>
              <w:right w:val="nil"/>
            </w:tcBorders>
            <w:vAlign w:val="center"/>
            <w:hideMark/>
          </w:tcPr>
          <w:p w:rsidR="00E75770" w:rsidRPr="00E75770" w:rsidRDefault="00E75770" w:rsidP="000C1EA6">
            <w:pPr>
              <w:rPr>
                <w:rFonts w:eastAsia="Times New Roman" w:cs="Calibri"/>
                <w:sz w:val="18"/>
                <w:szCs w:val="18"/>
                <w:lang w:eastAsia="cs-CZ"/>
              </w:rPr>
            </w:pPr>
          </w:p>
        </w:tc>
        <w:tc>
          <w:tcPr>
            <w:tcW w:w="2613" w:type="dxa"/>
            <w:tcBorders>
              <w:top w:val="nil"/>
              <w:left w:val="nil"/>
              <w:bottom w:val="single" w:sz="4" w:space="0" w:color="AEAEAE"/>
              <w:right w:val="nil"/>
            </w:tcBorders>
            <w:shd w:val="clear" w:color="auto" w:fill="auto"/>
            <w:vAlign w:val="center"/>
            <w:hideMark/>
          </w:tcPr>
          <w:p w:rsidR="00E75770" w:rsidRPr="00B329D3" w:rsidRDefault="00E75770" w:rsidP="000C1EA6">
            <w:pPr>
              <w:rPr>
                <w:rFonts w:eastAsia="Times New Roman" w:cs="Calibri"/>
                <w:b/>
                <w:sz w:val="18"/>
                <w:szCs w:val="18"/>
                <w:lang w:eastAsia="cs-CZ"/>
              </w:rPr>
            </w:pPr>
            <w:r w:rsidRPr="00B329D3">
              <w:rPr>
                <w:rFonts w:eastAsia="Times New Roman" w:cs="Calibri"/>
                <w:b/>
                <w:sz w:val="18"/>
                <w:szCs w:val="18"/>
                <w:lang w:eastAsia="cs-CZ"/>
              </w:rPr>
              <w:t>Záporné NSPK</w:t>
            </w:r>
          </w:p>
        </w:tc>
        <w:tc>
          <w:tcPr>
            <w:tcW w:w="1210" w:type="dxa"/>
            <w:tcBorders>
              <w:top w:val="nil"/>
              <w:left w:val="nil"/>
              <w:bottom w:val="single" w:sz="4" w:space="0" w:color="AEAEAE"/>
              <w:right w:val="nil"/>
            </w:tcBorders>
            <w:shd w:val="clear" w:color="auto" w:fill="auto"/>
            <w:noWrap/>
            <w:vAlign w:val="center"/>
            <w:hideMark/>
          </w:tcPr>
          <w:p w:rsidR="00E75770" w:rsidRPr="00B329D3" w:rsidRDefault="00E75770" w:rsidP="000C1EA6">
            <w:pPr>
              <w:rPr>
                <w:rFonts w:eastAsia="Times New Roman" w:cs="Calibri"/>
                <w:b/>
                <w:sz w:val="18"/>
                <w:szCs w:val="18"/>
                <w:lang w:eastAsia="cs-CZ"/>
              </w:rPr>
            </w:pPr>
            <w:r w:rsidRPr="00B329D3">
              <w:rPr>
                <w:rFonts w:eastAsia="Times New Roman" w:cs="Calibri"/>
                <w:b/>
                <w:sz w:val="18"/>
                <w:szCs w:val="18"/>
                <w:lang w:eastAsia="cs-CZ"/>
              </w:rPr>
              <w:t>75,2</w:t>
            </w:r>
            <w:r w:rsidR="00F93571">
              <w:rPr>
                <w:rFonts w:eastAsia="Times New Roman" w:cs="Calibri"/>
                <w:b/>
                <w:sz w:val="18"/>
                <w:szCs w:val="18"/>
                <w:lang w:eastAsia="cs-CZ"/>
              </w:rPr>
              <w:t xml:space="preserve"> </w:t>
            </w:r>
            <w:r w:rsidRPr="00B329D3">
              <w:rPr>
                <w:rFonts w:eastAsia="Times New Roman" w:cs="Calibri"/>
                <w:b/>
                <w:sz w:val="18"/>
                <w:szCs w:val="18"/>
                <w:lang w:eastAsia="cs-CZ"/>
              </w:rPr>
              <w:t>%</w:t>
            </w:r>
          </w:p>
        </w:tc>
        <w:tc>
          <w:tcPr>
            <w:tcW w:w="1210" w:type="dxa"/>
            <w:tcBorders>
              <w:top w:val="nil"/>
              <w:left w:val="nil"/>
              <w:bottom w:val="single" w:sz="4" w:space="0" w:color="AEAEAE"/>
              <w:right w:val="nil"/>
            </w:tcBorders>
            <w:shd w:val="clear" w:color="auto" w:fill="auto"/>
            <w:noWrap/>
            <w:vAlign w:val="center"/>
            <w:hideMark/>
          </w:tcPr>
          <w:p w:rsidR="00E75770" w:rsidRPr="00B329D3" w:rsidRDefault="00E75770" w:rsidP="000C1EA6">
            <w:pPr>
              <w:rPr>
                <w:rFonts w:eastAsia="Times New Roman" w:cs="Calibri"/>
                <w:b/>
                <w:sz w:val="18"/>
                <w:szCs w:val="18"/>
                <w:lang w:eastAsia="cs-CZ"/>
              </w:rPr>
            </w:pPr>
            <w:r w:rsidRPr="00B329D3">
              <w:rPr>
                <w:rFonts w:eastAsia="Times New Roman" w:cs="Calibri"/>
                <w:b/>
                <w:sz w:val="18"/>
                <w:szCs w:val="18"/>
                <w:lang w:eastAsia="cs-CZ"/>
              </w:rPr>
              <w:t>61,9</w:t>
            </w:r>
            <w:r w:rsidR="003162BC">
              <w:rPr>
                <w:rFonts w:eastAsia="Times New Roman" w:cs="Calibri"/>
                <w:b/>
                <w:sz w:val="18"/>
                <w:szCs w:val="18"/>
                <w:lang w:eastAsia="cs-CZ"/>
              </w:rPr>
              <w:t xml:space="preserve"> </w:t>
            </w:r>
            <w:r w:rsidRPr="00B329D3">
              <w:rPr>
                <w:rFonts w:eastAsia="Times New Roman" w:cs="Calibri"/>
                <w:b/>
                <w:sz w:val="18"/>
                <w:szCs w:val="18"/>
                <w:lang w:eastAsia="cs-CZ"/>
              </w:rPr>
              <w:t>%</w:t>
            </w:r>
          </w:p>
        </w:tc>
        <w:tc>
          <w:tcPr>
            <w:tcW w:w="1210" w:type="dxa"/>
            <w:tcBorders>
              <w:top w:val="nil"/>
              <w:left w:val="nil"/>
              <w:bottom w:val="single" w:sz="4" w:space="0" w:color="AEAEAE"/>
              <w:right w:val="single" w:sz="4" w:space="0" w:color="auto"/>
            </w:tcBorders>
            <w:shd w:val="clear" w:color="auto" w:fill="auto"/>
            <w:noWrap/>
            <w:vAlign w:val="center"/>
            <w:hideMark/>
          </w:tcPr>
          <w:p w:rsidR="00E75770" w:rsidRPr="00B329D3" w:rsidRDefault="00E75770" w:rsidP="000C1EA6">
            <w:pPr>
              <w:rPr>
                <w:rFonts w:eastAsia="Times New Roman" w:cs="Calibri"/>
                <w:b/>
                <w:sz w:val="18"/>
                <w:szCs w:val="18"/>
                <w:lang w:eastAsia="cs-CZ"/>
              </w:rPr>
            </w:pPr>
            <w:r w:rsidRPr="00B329D3">
              <w:rPr>
                <w:rFonts w:eastAsia="Times New Roman" w:cs="Calibri"/>
                <w:b/>
                <w:sz w:val="18"/>
                <w:szCs w:val="18"/>
                <w:lang w:eastAsia="cs-CZ"/>
              </w:rPr>
              <w:t>56,2</w:t>
            </w:r>
            <w:r w:rsidR="003162BC">
              <w:rPr>
                <w:rFonts w:eastAsia="Times New Roman" w:cs="Calibri"/>
                <w:b/>
                <w:sz w:val="18"/>
                <w:szCs w:val="18"/>
                <w:lang w:eastAsia="cs-CZ"/>
              </w:rPr>
              <w:t xml:space="preserve"> </w:t>
            </w:r>
            <w:r w:rsidRPr="00B329D3">
              <w:rPr>
                <w:rFonts w:eastAsia="Times New Roman" w:cs="Calibri"/>
                <w:b/>
                <w:sz w:val="18"/>
                <w:szCs w:val="18"/>
                <w:lang w:eastAsia="cs-CZ"/>
              </w:rPr>
              <w:t>%</w:t>
            </w:r>
          </w:p>
        </w:tc>
      </w:tr>
      <w:tr w:rsidR="00E75770" w:rsidRPr="00E75770" w:rsidTr="001545FF">
        <w:trPr>
          <w:trHeight w:val="284"/>
        </w:trPr>
        <w:tc>
          <w:tcPr>
            <w:tcW w:w="5442"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0C1EA6">
            <w:pPr>
              <w:rPr>
                <w:rFonts w:eastAsia="Times New Roman" w:cs="Calibri"/>
                <w:sz w:val="18"/>
                <w:szCs w:val="18"/>
                <w:lang w:eastAsia="cs-CZ"/>
              </w:rPr>
            </w:pPr>
            <w:r w:rsidRPr="00E75770">
              <w:rPr>
                <w:rFonts w:eastAsia="Times New Roman" w:cs="Calibri"/>
                <w:sz w:val="18"/>
                <w:szCs w:val="18"/>
                <w:lang w:eastAsia="cs-CZ"/>
              </w:rPr>
              <w:t>Total</w:t>
            </w:r>
          </w:p>
        </w:tc>
        <w:tc>
          <w:tcPr>
            <w:tcW w:w="1210" w:type="dxa"/>
            <w:tcBorders>
              <w:top w:val="nil"/>
              <w:left w:val="nil"/>
              <w:bottom w:val="single" w:sz="4" w:space="0" w:color="auto"/>
              <w:right w:val="nil"/>
            </w:tcBorders>
            <w:shd w:val="clear" w:color="auto" w:fill="auto"/>
            <w:noWrap/>
            <w:vAlign w:val="center"/>
            <w:hideMark/>
          </w:tcPr>
          <w:p w:rsidR="00E75770" w:rsidRPr="00E75770" w:rsidRDefault="00E75770" w:rsidP="000C1EA6">
            <w:pPr>
              <w:rPr>
                <w:rFonts w:eastAsia="Times New Roman" w:cs="Calibri"/>
                <w:sz w:val="18"/>
                <w:szCs w:val="18"/>
                <w:lang w:eastAsia="cs-CZ"/>
              </w:rPr>
            </w:pPr>
            <w:r w:rsidRPr="00E75770">
              <w:rPr>
                <w:rFonts w:eastAsia="Times New Roman" w:cs="Calibri"/>
                <w:sz w:val="18"/>
                <w:szCs w:val="18"/>
                <w:lang w:eastAsia="cs-CZ"/>
              </w:rPr>
              <w:t>100,0</w:t>
            </w:r>
            <w:r w:rsidR="00F93571">
              <w:rPr>
                <w:rFonts w:eastAsia="Times New Roman" w:cs="Calibri"/>
                <w:sz w:val="18"/>
                <w:szCs w:val="18"/>
                <w:lang w:eastAsia="cs-CZ"/>
              </w:rPr>
              <w:t xml:space="preserve"> </w:t>
            </w:r>
            <w:r w:rsidRPr="00E75770">
              <w:rPr>
                <w:rFonts w:eastAsia="Times New Roman" w:cs="Calibri"/>
                <w:sz w:val="18"/>
                <w:szCs w:val="18"/>
                <w:lang w:eastAsia="cs-CZ"/>
              </w:rPr>
              <w:t>%</w:t>
            </w:r>
          </w:p>
        </w:tc>
        <w:tc>
          <w:tcPr>
            <w:tcW w:w="1210" w:type="dxa"/>
            <w:tcBorders>
              <w:top w:val="nil"/>
              <w:left w:val="nil"/>
              <w:bottom w:val="single" w:sz="4" w:space="0" w:color="auto"/>
              <w:right w:val="nil"/>
            </w:tcBorders>
            <w:shd w:val="clear" w:color="auto" w:fill="auto"/>
            <w:noWrap/>
            <w:vAlign w:val="center"/>
            <w:hideMark/>
          </w:tcPr>
          <w:p w:rsidR="00E75770" w:rsidRPr="00E75770" w:rsidRDefault="00E75770" w:rsidP="000C1EA6">
            <w:pPr>
              <w:rPr>
                <w:rFonts w:eastAsia="Times New Roman" w:cs="Calibri"/>
                <w:sz w:val="18"/>
                <w:szCs w:val="18"/>
                <w:lang w:eastAsia="cs-CZ"/>
              </w:rPr>
            </w:pPr>
            <w:r w:rsidRPr="00E75770">
              <w:rPr>
                <w:rFonts w:eastAsia="Times New Roman" w:cs="Calibri"/>
                <w:sz w:val="18"/>
                <w:szCs w:val="18"/>
                <w:lang w:eastAsia="cs-CZ"/>
              </w:rPr>
              <w:t>100,0</w:t>
            </w:r>
            <w:r w:rsidR="003162BC">
              <w:rPr>
                <w:rFonts w:eastAsia="Times New Roman" w:cs="Calibri"/>
                <w:sz w:val="18"/>
                <w:szCs w:val="18"/>
                <w:lang w:eastAsia="cs-CZ"/>
              </w:rPr>
              <w:t xml:space="preserve"> </w:t>
            </w:r>
            <w:r w:rsidRPr="00E75770">
              <w:rPr>
                <w:rFonts w:eastAsia="Times New Roman" w:cs="Calibri"/>
                <w:sz w:val="18"/>
                <w:szCs w:val="18"/>
                <w:lang w:eastAsia="cs-CZ"/>
              </w:rPr>
              <w:t>%</w:t>
            </w:r>
          </w:p>
        </w:tc>
        <w:tc>
          <w:tcPr>
            <w:tcW w:w="121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0C1EA6">
            <w:pPr>
              <w:rPr>
                <w:rFonts w:eastAsia="Times New Roman" w:cs="Calibri"/>
                <w:sz w:val="18"/>
                <w:szCs w:val="18"/>
                <w:lang w:eastAsia="cs-CZ"/>
              </w:rPr>
            </w:pPr>
            <w:r w:rsidRPr="00E75770">
              <w:rPr>
                <w:rFonts w:eastAsia="Times New Roman" w:cs="Calibri"/>
                <w:sz w:val="18"/>
                <w:szCs w:val="18"/>
                <w:lang w:eastAsia="cs-CZ"/>
              </w:rPr>
              <w:t>100,0</w:t>
            </w:r>
            <w:r w:rsidR="003162BC">
              <w:rPr>
                <w:rFonts w:eastAsia="Times New Roman" w:cs="Calibri"/>
                <w:sz w:val="18"/>
                <w:szCs w:val="18"/>
                <w:lang w:eastAsia="cs-CZ"/>
              </w:rPr>
              <w:t xml:space="preserve"> </w:t>
            </w:r>
            <w:r w:rsidRPr="00E75770">
              <w:rPr>
                <w:rFonts w:eastAsia="Times New Roman" w:cs="Calibri"/>
                <w:sz w:val="18"/>
                <w:szCs w:val="18"/>
                <w:lang w:eastAsia="cs-CZ"/>
              </w:rPr>
              <w:t>%</w:t>
            </w:r>
          </w:p>
        </w:tc>
      </w:tr>
    </w:tbl>
    <w:p w:rsidR="006A291C" w:rsidRPr="00CF225B" w:rsidRDefault="006A291C" w:rsidP="000C1EA6">
      <w:pPr>
        <w:rPr>
          <w:rFonts w:cs="Times New Roman"/>
          <w:b/>
          <w:szCs w:val="24"/>
        </w:rPr>
      </w:pPr>
    </w:p>
    <w:p w:rsidR="0060169A" w:rsidRDefault="00245D79" w:rsidP="000C1EA6">
      <w:pPr>
        <w:rPr>
          <w:rFonts w:cs="Times New Roman"/>
          <w:szCs w:val="24"/>
        </w:rPr>
      </w:pPr>
      <w:r w:rsidRPr="00CF225B">
        <w:rPr>
          <w:rFonts w:cs="Times New Roman"/>
          <w:szCs w:val="24"/>
        </w:rPr>
        <w:lastRenderedPageBreak/>
        <w:t>Relativní četnost polarity salda aktivních a pasivních NSPK (kde kladná hodnota demonstruje převahu aktivních NSPK nad pasivními) ukazuje, že u primárních NSPK převažuje kladné saldo (tedy aktivní NSPK převažují nad pasivními), zatímco u celkových NSPK převažuje saldo záporné (tedy pasivní NSPK převažují nad aktivními). Z toho lze usuzovat, že problémy celkového pracovního kapitálu nemají až tak původ v primární obchodní (provozní) činnosti, ale jsou umocňovány dalšími NSPK, které nemusí souviset s primární obchodní činností (lze usuzovat zejména na různé neobchodní závazky).</w:t>
      </w:r>
    </w:p>
    <w:p w:rsidR="00E01698" w:rsidRPr="00CF225B" w:rsidRDefault="00E01698" w:rsidP="00E01698">
      <w:pPr>
        <w:rPr>
          <w:rFonts w:cs="Times New Roman"/>
          <w:szCs w:val="24"/>
        </w:rPr>
      </w:pPr>
    </w:p>
    <w:p w:rsidR="00824B10" w:rsidRPr="00FF0D08" w:rsidRDefault="00824B10" w:rsidP="00FF0D08">
      <w:pPr>
        <w:rPr>
          <w:b/>
        </w:rPr>
      </w:pPr>
      <w:r w:rsidRPr="00FF0D08">
        <w:rPr>
          <w:b/>
        </w:rPr>
        <w:t>Polarita vlastního kapitálu</w:t>
      </w:r>
    </w:p>
    <w:p w:rsidR="000E79E9" w:rsidRDefault="000E79E9" w:rsidP="000E79E9">
      <w:pPr>
        <w:pStyle w:val="Titulek"/>
        <w:keepNext/>
      </w:pPr>
      <w:bookmarkStart w:id="119" w:name="_Toc31054822"/>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46</w:t>
      </w:r>
      <w:r w:rsidR="00163A91">
        <w:rPr>
          <w:noProof/>
        </w:rPr>
        <w:fldChar w:fldCharType="end"/>
      </w:r>
      <w:r>
        <w:t xml:space="preserve"> Polarita vlastního kapitálu</w:t>
      </w:r>
      <w:bookmarkEnd w:id="119"/>
    </w:p>
    <w:tbl>
      <w:tblPr>
        <w:tblW w:w="9072" w:type="dxa"/>
        <w:tblCellMar>
          <w:left w:w="70" w:type="dxa"/>
          <w:right w:w="70" w:type="dxa"/>
        </w:tblCellMar>
        <w:tblLook w:val="04A0"/>
      </w:tblPr>
      <w:tblGrid>
        <w:gridCol w:w="2829"/>
        <w:gridCol w:w="2613"/>
        <w:gridCol w:w="1210"/>
        <w:gridCol w:w="1210"/>
        <w:gridCol w:w="1210"/>
      </w:tblGrid>
      <w:tr w:rsidR="00E75770" w:rsidRPr="00E75770" w:rsidTr="000E79E9">
        <w:trPr>
          <w:trHeight w:val="284"/>
        </w:trPr>
        <w:tc>
          <w:tcPr>
            <w:tcW w:w="5442" w:type="dxa"/>
            <w:gridSpan w:val="2"/>
            <w:tcBorders>
              <w:top w:val="single" w:sz="4" w:space="0" w:color="auto"/>
              <w:left w:val="single" w:sz="4" w:space="0" w:color="auto"/>
              <w:bottom w:val="single" w:sz="4" w:space="0" w:color="auto"/>
              <w:right w:val="nil"/>
            </w:tcBorders>
            <w:shd w:val="clear" w:color="auto" w:fill="auto"/>
            <w:vAlign w:val="center"/>
            <w:hideMark/>
          </w:tcPr>
          <w:p w:rsidR="00E75770" w:rsidRPr="00E75770" w:rsidRDefault="00E75770" w:rsidP="004C37F5">
            <w:pPr>
              <w:spacing w:before="120" w:after="240" w:line="240" w:lineRule="auto"/>
              <w:rPr>
                <w:rFonts w:eastAsia="Times New Roman" w:cs="Calibri"/>
                <w:sz w:val="18"/>
                <w:szCs w:val="18"/>
                <w:lang w:eastAsia="cs-CZ"/>
              </w:rPr>
            </w:pPr>
            <w:r w:rsidRPr="00E75770">
              <w:rPr>
                <w:rFonts w:eastAsia="Times New Roman" w:cs="Calibri"/>
                <w:sz w:val="18"/>
                <w:szCs w:val="18"/>
                <w:lang w:eastAsia="cs-CZ"/>
              </w:rPr>
              <w:t> </w:t>
            </w:r>
          </w:p>
        </w:tc>
        <w:tc>
          <w:tcPr>
            <w:tcW w:w="121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4C37F5">
            <w:pPr>
              <w:spacing w:before="120" w:after="240" w:line="240" w:lineRule="auto"/>
              <w:jc w:val="right"/>
              <w:rPr>
                <w:rFonts w:eastAsia="Times New Roman" w:cs="Calibri"/>
                <w:color w:val="264A60"/>
                <w:sz w:val="18"/>
                <w:szCs w:val="18"/>
                <w:lang w:eastAsia="cs-CZ"/>
              </w:rPr>
            </w:pPr>
            <w:r w:rsidRPr="00E75770">
              <w:rPr>
                <w:rFonts w:eastAsia="Times New Roman" w:cs="Calibri"/>
                <w:color w:val="264A60"/>
                <w:sz w:val="18"/>
                <w:szCs w:val="18"/>
                <w:lang w:eastAsia="cs-CZ"/>
              </w:rPr>
              <w:t>1 rok před úpadkem</w:t>
            </w:r>
          </w:p>
        </w:tc>
        <w:tc>
          <w:tcPr>
            <w:tcW w:w="121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4C37F5">
            <w:pPr>
              <w:spacing w:before="120" w:after="240" w:line="240" w:lineRule="auto"/>
              <w:jc w:val="right"/>
              <w:rPr>
                <w:rFonts w:eastAsia="Times New Roman" w:cs="Calibri"/>
                <w:color w:val="264A60"/>
                <w:sz w:val="18"/>
                <w:szCs w:val="18"/>
                <w:lang w:eastAsia="cs-CZ"/>
              </w:rPr>
            </w:pPr>
            <w:r w:rsidRPr="00E75770">
              <w:rPr>
                <w:rFonts w:eastAsia="Times New Roman" w:cs="Calibri"/>
                <w:color w:val="264A60"/>
                <w:sz w:val="18"/>
                <w:szCs w:val="18"/>
                <w:lang w:eastAsia="cs-CZ"/>
              </w:rPr>
              <w:t>2 roky před úpadkem</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E75770" w:rsidRPr="00E75770" w:rsidRDefault="00E75770" w:rsidP="004C37F5">
            <w:pPr>
              <w:spacing w:before="120" w:after="240" w:line="240" w:lineRule="auto"/>
              <w:jc w:val="right"/>
              <w:rPr>
                <w:rFonts w:eastAsia="Times New Roman" w:cs="Calibri"/>
                <w:color w:val="264A60"/>
                <w:sz w:val="18"/>
                <w:szCs w:val="18"/>
                <w:lang w:eastAsia="cs-CZ"/>
              </w:rPr>
            </w:pPr>
            <w:r w:rsidRPr="00E75770">
              <w:rPr>
                <w:rFonts w:eastAsia="Times New Roman" w:cs="Calibri"/>
                <w:color w:val="264A60"/>
                <w:sz w:val="18"/>
                <w:szCs w:val="18"/>
                <w:lang w:eastAsia="cs-CZ"/>
              </w:rPr>
              <w:t>3 roky před úpadkem</w:t>
            </w:r>
          </w:p>
        </w:tc>
      </w:tr>
      <w:tr w:rsidR="00E75770" w:rsidRPr="00E75770" w:rsidTr="000E79E9">
        <w:trPr>
          <w:trHeight w:val="284"/>
        </w:trPr>
        <w:tc>
          <w:tcPr>
            <w:tcW w:w="2829"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4C37F5">
            <w:pPr>
              <w:spacing w:before="120" w:after="240" w:line="240" w:lineRule="auto"/>
              <w:rPr>
                <w:rFonts w:eastAsia="Times New Roman" w:cs="Calibri"/>
                <w:sz w:val="18"/>
                <w:szCs w:val="18"/>
                <w:lang w:eastAsia="cs-CZ"/>
              </w:rPr>
            </w:pPr>
            <w:r w:rsidRPr="00E75770">
              <w:rPr>
                <w:rFonts w:eastAsia="Times New Roman" w:cs="Calibri"/>
                <w:sz w:val="18"/>
                <w:szCs w:val="18"/>
                <w:lang w:eastAsia="cs-CZ"/>
              </w:rPr>
              <w:t>Polarita vlastního kapitálu</w:t>
            </w:r>
          </w:p>
        </w:tc>
        <w:tc>
          <w:tcPr>
            <w:tcW w:w="2613" w:type="dxa"/>
            <w:tcBorders>
              <w:top w:val="nil"/>
              <w:left w:val="nil"/>
              <w:bottom w:val="single" w:sz="4" w:space="0" w:color="AEAEAE"/>
              <w:right w:val="nil"/>
            </w:tcBorders>
            <w:shd w:val="clear" w:color="auto" w:fill="auto"/>
            <w:vAlign w:val="center"/>
            <w:hideMark/>
          </w:tcPr>
          <w:p w:rsidR="00E75770" w:rsidRPr="00245D79" w:rsidRDefault="00E75770" w:rsidP="004C37F5">
            <w:pPr>
              <w:spacing w:before="120" w:after="240" w:line="240" w:lineRule="auto"/>
              <w:rPr>
                <w:rFonts w:eastAsia="Times New Roman" w:cs="Calibri"/>
                <w:sz w:val="18"/>
                <w:szCs w:val="18"/>
                <w:lang w:eastAsia="cs-CZ"/>
              </w:rPr>
            </w:pPr>
            <w:r w:rsidRPr="00245D79">
              <w:rPr>
                <w:rFonts w:eastAsia="Times New Roman" w:cs="Calibri"/>
                <w:sz w:val="18"/>
                <w:szCs w:val="18"/>
                <w:lang w:eastAsia="cs-CZ"/>
              </w:rPr>
              <w:t>Kladný vlastní kapitál</w:t>
            </w:r>
          </w:p>
        </w:tc>
        <w:tc>
          <w:tcPr>
            <w:tcW w:w="1210" w:type="dxa"/>
            <w:tcBorders>
              <w:top w:val="single" w:sz="4" w:space="0" w:color="152935"/>
              <w:left w:val="nil"/>
              <w:bottom w:val="single" w:sz="4" w:space="0" w:color="AEAEAE"/>
              <w:right w:val="nil"/>
            </w:tcBorders>
            <w:shd w:val="clear" w:color="auto" w:fill="auto"/>
            <w:noWrap/>
            <w:vAlign w:val="center"/>
            <w:hideMark/>
          </w:tcPr>
          <w:p w:rsidR="00E75770" w:rsidRPr="00245D79" w:rsidRDefault="00E75770" w:rsidP="004C37F5">
            <w:pPr>
              <w:spacing w:before="120" w:after="240" w:line="240" w:lineRule="auto"/>
              <w:jc w:val="right"/>
              <w:rPr>
                <w:rFonts w:eastAsia="Times New Roman" w:cs="Calibri"/>
                <w:sz w:val="18"/>
                <w:szCs w:val="18"/>
                <w:lang w:eastAsia="cs-CZ"/>
              </w:rPr>
            </w:pPr>
            <w:r w:rsidRPr="00245D79">
              <w:rPr>
                <w:rFonts w:eastAsia="Times New Roman" w:cs="Calibri"/>
                <w:sz w:val="18"/>
                <w:szCs w:val="18"/>
                <w:lang w:eastAsia="cs-CZ"/>
              </w:rPr>
              <w:t>28,8</w:t>
            </w:r>
            <w:r w:rsidR="003162BC">
              <w:rPr>
                <w:rFonts w:eastAsia="Times New Roman" w:cs="Calibri"/>
                <w:sz w:val="18"/>
                <w:szCs w:val="18"/>
                <w:lang w:eastAsia="cs-CZ"/>
              </w:rPr>
              <w:t xml:space="preserve"> </w:t>
            </w:r>
            <w:r w:rsidRPr="00245D79">
              <w:rPr>
                <w:rFonts w:eastAsia="Times New Roman" w:cs="Calibri"/>
                <w:sz w:val="18"/>
                <w:szCs w:val="18"/>
                <w:lang w:eastAsia="cs-CZ"/>
              </w:rPr>
              <w:t>%</w:t>
            </w:r>
          </w:p>
        </w:tc>
        <w:tc>
          <w:tcPr>
            <w:tcW w:w="1210" w:type="dxa"/>
            <w:tcBorders>
              <w:top w:val="single" w:sz="4" w:space="0" w:color="152935"/>
              <w:left w:val="nil"/>
              <w:bottom w:val="single" w:sz="4" w:space="0" w:color="AEAEAE"/>
              <w:right w:val="nil"/>
            </w:tcBorders>
            <w:shd w:val="clear" w:color="auto" w:fill="auto"/>
            <w:noWrap/>
            <w:vAlign w:val="center"/>
            <w:hideMark/>
          </w:tcPr>
          <w:p w:rsidR="00E75770" w:rsidRPr="00245D79" w:rsidRDefault="00E75770" w:rsidP="004C37F5">
            <w:pPr>
              <w:spacing w:before="120" w:after="240" w:line="240" w:lineRule="auto"/>
              <w:jc w:val="right"/>
              <w:rPr>
                <w:rFonts w:eastAsia="Times New Roman" w:cs="Calibri"/>
                <w:sz w:val="18"/>
                <w:szCs w:val="18"/>
                <w:lang w:eastAsia="cs-CZ"/>
              </w:rPr>
            </w:pPr>
            <w:r w:rsidRPr="00245D79">
              <w:rPr>
                <w:rFonts w:eastAsia="Times New Roman" w:cs="Calibri"/>
                <w:sz w:val="18"/>
                <w:szCs w:val="18"/>
                <w:lang w:eastAsia="cs-CZ"/>
              </w:rPr>
              <w:t>50,9</w:t>
            </w:r>
            <w:r w:rsidR="003162BC">
              <w:rPr>
                <w:rFonts w:eastAsia="Times New Roman" w:cs="Calibri"/>
                <w:sz w:val="18"/>
                <w:szCs w:val="18"/>
                <w:lang w:eastAsia="cs-CZ"/>
              </w:rPr>
              <w:t xml:space="preserve"> </w:t>
            </w:r>
            <w:r w:rsidRPr="00245D79">
              <w:rPr>
                <w:rFonts w:eastAsia="Times New Roman" w:cs="Calibri"/>
                <w:sz w:val="18"/>
                <w:szCs w:val="18"/>
                <w:lang w:eastAsia="cs-CZ"/>
              </w:rPr>
              <w:t>%</w:t>
            </w:r>
          </w:p>
        </w:tc>
        <w:tc>
          <w:tcPr>
            <w:tcW w:w="121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245D79" w:rsidRDefault="00E75770" w:rsidP="004C37F5">
            <w:pPr>
              <w:spacing w:before="120" w:after="240" w:line="240" w:lineRule="auto"/>
              <w:jc w:val="right"/>
              <w:rPr>
                <w:rFonts w:eastAsia="Times New Roman" w:cs="Calibri"/>
                <w:sz w:val="18"/>
                <w:szCs w:val="18"/>
                <w:lang w:eastAsia="cs-CZ"/>
              </w:rPr>
            </w:pPr>
            <w:r w:rsidRPr="00245D79">
              <w:rPr>
                <w:rFonts w:eastAsia="Times New Roman" w:cs="Calibri"/>
                <w:sz w:val="18"/>
                <w:szCs w:val="18"/>
                <w:lang w:eastAsia="cs-CZ"/>
              </w:rPr>
              <w:t>63,5%</w:t>
            </w:r>
          </w:p>
        </w:tc>
      </w:tr>
      <w:tr w:rsidR="00E75770" w:rsidRPr="00E75770" w:rsidTr="000E79E9">
        <w:trPr>
          <w:trHeight w:val="284"/>
        </w:trPr>
        <w:tc>
          <w:tcPr>
            <w:tcW w:w="2829" w:type="dxa"/>
            <w:vMerge/>
            <w:tcBorders>
              <w:top w:val="nil"/>
              <w:left w:val="single" w:sz="4" w:space="0" w:color="auto"/>
              <w:bottom w:val="single" w:sz="4" w:space="0" w:color="AEAEAE"/>
              <w:right w:val="nil"/>
            </w:tcBorders>
            <w:vAlign w:val="center"/>
            <w:hideMark/>
          </w:tcPr>
          <w:p w:rsidR="00E75770" w:rsidRPr="00E75770" w:rsidRDefault="00E75770" w:rsidP="004C37F5">
            <w:pPr>
              <w:spacing w:before="120" w:after="240" w:line="240" w:lineRule="auto"/>
              <w:rPr>
                <w:rFonts w:eastAsia="Times New Roman" w:cs="Calibri"/>
                <w:sz w:val="18"/>
                <w:szCs w:val="18"/>
                <w:lang w:eastAsia="cs-CZ"/>
              </w:rPr>
            </w:pPr>
          </w:p>
        </w:tc>
        <w:tc>
          <w:tcPr>
            <w:tcW w:w="2613" w:type="dxa"/>
            <w:tcBorders>
              <w:top w:val="nil"/>
              <w:left w:val="nil"/>
              <w:bottom w:val="single" w:sz="4" w:space="0" w:color="AEAEAE"/>
              <w:right w:val="nil"/>
            </w:tcBorders>
            <w:shd w:val="clear" w:color="auto" w:fill="auto"/>
            <w:vAlign w:val="center"/>
            <w:hideMark/>
          </w:tcPr>
          <w:p w:rsidR="00E75770" w:rsidRPr="00245D79" w:rsidRDefault="00E75770" w:rsidP="004C37F5">
            <w:pPr>
              <w:spacing w:before="120" w:after="240" w:line="240" w:lineRule="auto"/>
              <w:rPr>
                <w:rFonts w:eastAsia="Times New Roman" w:cs="Calibri"/>
                <w:b/>
                <w:sz w:val="18"/>
                <w:szCs w:val="18"/>
                <w:lang w:eastAsia="cs-CZ"/>
              </w:rPr>
            </w:pPr>
            <w:r w:rsidRPr="00245D79">
              <w:rPr>
                <w:rFonts w:eastAsia="Times New Roman" w:cs="Calibri"/>
                <w:b/>
                <w:sz w:val="18"/>
                <w:szCs w:val="18"/>
                <w:lang w:eastAsia="cs-CZ"/>
              </w:rPr>
              <w:t>Záporný vlastní kapitál</w:t>
            </w:r>
          </w:p>
        </w:tc>
        <w:tc>
          <w:tcPr>
            <w:tcW w:w="1210" w:type="dxa"/>
            <w:tcBorders>
              <w:top w:val="nil"/>
              <w:left w:val="nil"/>
              <w:bottom w:val="single" w:sz="4" w:space="0" w:color="AEAEAE"/>
              <w:right w:val="nil"/>
            </w:tcBorders>
            <w:shd w:val="clear" w:color="auto" w:fill="auto"/>
            <w:noWrap/>
            <w:vAlign w:val="center"/>
            <w:hideMark/>
          </w:tcPr>
          <w:p w:rsidR="00E75770" w:rsidRPr="00245D79" w:rsidRDefault="00E75770" w:rsidP="004C37F5">
            <w:pPr>
              <w:spacing w:before="120" w:after="240" w:line="240" w:lineRule="auto"/>
              <w:jc w:val="right"/>
              <w:rPr>
                <w:rFonts w:eastAsia="Times New Roman" w:cs="Calibri"/>
                <w:b/>
                <w:sz w:val="18"/>
                <w:szCs w:val="18"/>
                <w:lang w:eastAsia="cs-CZ"/>
              </w:rPr>
            </w:pPr>
            <w:r w:rsidRPr="00245D79">
              <w:rPr>
                <w:rFonts w:eastAsia="Times New Roman" w:cs="Calibri"/>
                <w:b/>
                <w:sz w:val="18"/>
                <w:szCs w:val="18"/>
                <w:lang w:eastAsia="cs-CZ"/>
              </w:rPr>
              <w:t>71,2</w:t>
            </w:r>
            <w:r w:rsidR="003162BC">
              <w:rPr>
                <w:rFonts w:eastAsia="Times New Roman" w:cs="Calibri"/>
                <w:b/>
                <w:sz w:val="18"/>
                <w:szCs w:val="18"/>
                <w:lang w:eastAsia="cs-CZ"/>
              </w:rPr>
              <w:t xml:space="preserve"> </w:t>
            </w:r>
            <w:r w:rsidRPr="00245D79">
              <w:rPr>
                <w:rFonts w:eastAsia="Times New Roman" w:cs="Calibri"/>
                <w:b/>
                <w:sz w:val="18"/>
                <w:szCs w:val="18"/>
                <w:lang w:eastAsia="cs-CZ"/>
              </w:rPr>
              <w:t>%</w:t>
            </w:r>
          </w:p>
        </w:tc>
        <w:tc>
          <w:tcPr>
            <w:tcW w:w="1210" w:type="dxa"/>
            <w:tcBorders>
              <w:top w:val="nil"/>
              <w:left w:val="nil"/>
              <w:bottom w:val="single" w:sz="4" w:space="0" w:color="AEAEAE"/>
              <w:right w:val="nil"/>
            </w:tcBorders>
            <w:shd w:val="clear" w:color="auto" w:fill="auto"/>
            <w:noWrap/>
            <w:vAlign w:val="center"/>
            <w:hideMark/>
          </w:tcPr>
          <w:p w:rsidR="00E75770" w:rsidRPr="00245D79" w:rsidRDefault="00E75770" w:rsidP="004C37F5">
            <w:pPr>
              <w:spacing w:before="120" w:after="240" w:line="240" w:lineRule="auto"/>
              <w:jc w:val="right"/>
              <w:rPr>
                <w:rFonts w:eastAsia="Times New Roman" w:cs="Calibri"/>
                <w:b/>
                <w:sz w:val="18"/>
                <w:szCs w:val="18"/>
                <w:lang w:eastAsia="cs-CZ"/>
              </w:rPr>
            </w:pPr>
            <w:r w:rsidRPr="00245D79">
              <w:rPr>
                <w:rFonts w:eastAsia="Times New Roman" w:cs="Calibri"/>
                <w:b/>
                <w:sz w:val="18"/>
                <w:szCs w:val="18"/>
                <w:lang w:eastAsia="cs-CZ"/>
              </w:rPr>
              <w:t>49,1</w:t>
            </w:r>
            <w:r w:rsidR="003162BC">
              <w:rPr>
                <w:rFonts w:eastAsia="Times New Roman" w:cs="Calibri"/>
                <w:b/>
                <w:sz w:val="18"/>
                <w:szCs w:val="18"/>
                <w:lang w:eastAsia="cs-CZ"/>
              </w:rPr>
              <w:t xml:space="preserve"> </w:t>
            </w:r>
            <w:r w:rsidRPr="00245D79">
              <w:rPr>
                <w:rFonts w:eastAsia="Times New Roman" w:cs="Calibri"/>
                <w:b/>
                <w:sz w:val="18"/>
                <w:szCs w:val="18"/>
                <w:lang w:eastAsia="cs-CZ"/>
              </w:rPr>
              <w:t>%</w:t>
            </w:r>
          </w:p>
        </w:tc>
        <w:tc>
          <w:tcPr>
            <w:tcW w:w="1210" w:type="dxa"/>
            <w:tcBorders>
              <w:top w:val="nil"/>
              <w:left w:val="nil"/>
              <w:bottom w:val="single" w:sz="4" w:space="0" w:color="AEAEAE"/>
              <w:right w:val="single" w:sz="4" w:space="0" w:color="auto"/>
            </w:tcBorders>
            <w:shd w:val="clear" w:color="auto" w:fill="auto"/>
            <w:noWrap/>
            <w:vAlign w:val="center"/>
            <w:hideMark/>
          </w:tcPr>
          <w:p w:rsidR="00E75770" w:rsidRPr="00245D79" w:rsidRDefault="00E75770" w:rsidP="004C37F5">
            <w:pPr>
              <w:spacing w:before="120" w:after="240" w:line="240" w:lineRule="auto"/>
              <w:jc w:val="right"/>
              <w:rPr>
                <w:rFonts w:eastAsia="Times New Roman" w:cs="Calibri"/>
                <w:b/>
                <w:sz w:val="18"/>
                <w:szCs w:val="18"/>
                <w:lang w:eastAsia="cs-CZ"/>
              </w:rPr>
            </w:pPr>
            <w:r w:rsidRPr="00245D79">
              <w:rPr>
                <w:rFonts w:eastAsia="Times New Roman" w:cs="Calibri"/>
                <w:b/>
                <w:sz w:val="18"/>
                <w:szCs w:val="18"/>
                <w:lang w:eastAsia="cs-CZ"/>
              </w:rPr>
              <w:t>36,5</w:t>
            </w:r>
            <w:r w:rsidR="003162BC">
              <w:rPr>
                <w:rFonts w:eastAsia="Times New Roman" w:cs="Calibri"/>
                <w:b/>
                <w:sz w:val="18"/>
                <w:szCs w:val="18"/>
                <w:lang w:eastAsia="cs-CZ"/>
              </w:rPr>
              <w:t xml:space="preserve"> </w:t>
            </w:r>
            <w:r w:rsidRPr="00245D79">
              <w:rPr>
                <w:rFonts w:eastAsia="Times New Roman" w:cs="Calibri"/>
                <w:b/>
                <w:sz w:val="18"/>
                <w:szCs w:val="18"/>
                <w:lang w:eastAsia="cs-CZ"/>
              </w:rPr>
              <w:t>%</w:t>
            </w:r>
          </w:p>
        </w:tc>
      </w:tr>
      <w:tr w:rsidR="00E75770" w:rsidRPr="00E75770" w:rsidTr="000E79E9">
        <w:trPr>
          <w:trHeight w:val="284"/>
        </w:trPr>
        <w:tc>
          <w:tcPr>
            <w:tcW w:w="5442"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4C37F5">
            <w:pPr>
              <w:spacing w:before="120" w:after="240" w:line="240" w:lineRule="auto"/>
              <w:rPr>
                <w:rFonts w:eastAsia="Times New Roman" w:cs="Calibri"/>
                <w:sz w:val="18"/>
                <w:szCs w:val="18"/>
                <w:lang w:eastAsia="cs-CZ"/>
              </w:rPr>
            </w:pPr>
            <w:r w:rsidRPr="00E75770">
              <w:rPr>
                <w:rFonts w:eastAsia="Times New Roman" w:cs="Calibri"/>
                <w:sz w:val="18"/>
                <w:szCs w:val="18"/>
                <w:lang w:eastAsia="cs-CZ"/>
              </w:rPr>
              <w:t>Total</w:t>
            </w:r>
          </w:p>
        </w:tc>
        <w:tc>
          <w:tcPr>
            <w:tcW w:w="1210" w:type="dxa"/>
            <w:tcBorders>
              <w:top w:val="nil"/>
              <w:left w:val="nil"/>
              <w:bottom w:val="single" w:sz="4" w:space="0" w:color="auto"/>
              <w:right w:val="nil"/>
            </w:tcBorders>
            <w:shd w:val="clear" w:color="auto" w:fill="auto"/>
            <w:noWrap/>
            <w:vAlign w:val="center"/>
            <w:hideMark/>
          </w:tcPr>
          <w:p w:rsidR="00E75770" w:rsidRPr="00E75770" w:rsidRDefault="00E75770" w:rsidP="004C37F5">
            <w:pPr>
              <w:spacing w:before="120" w:after="240" w:line="240" w:lineRule="auto"/>
              <w:jc w:val="right"/>
              <w:rPr>
                <w:rFonts w:eastAsia="Times New Roman" w:cs="Calibri"/>
                <w:sz w:val="18"/>
                <w:szCs w:val="18"/>
                <w:lang w:eastAsia="cs-CZ"/>
              </w:rPr>
            </w:pPr>
            <w:r w:rsidRPr="00E75770">
              <w:rPr>
                <w:rFonts w:eastAsia="Times New Roman" w:cs="Calibri"/>
                <w:sz w:val="18"/>
                <w:szCs w:val="18"/>
                <w:lang w:eastAsia="cs-CZ"/>
              </w:rPr>
              <w:t>100,0</w:t>
            </w:r>
            <w:r w:rsidR="003162BC">
              <w:rPr>
                <w:rFonts w:eastAsia="Times New Roman" w:cs="Calibri"/>
                <w:sz w:val="18"/>
                <w:szCs w:val="18"/>
                <w:lang w:eastAsia="cs-CZ"/>
              </w:rPr>
              <w:t xml:space="preserve"> </w:t>
            </w:r>
            <w:r w:rsidRPr="00E75770">
              <w:rPr>
                <w:rFonts w:eastAsia="Times New Roman" w:cs="Calibri"/>
                <w:sz w:val="18"/>
                <w:szCs w:val="18"/>
                <w:lang w:eastAsia="cs-CZ"/>
              </w:rPr>
              <w:t>%</w:t>
            </w:r>
          </w:p>
        </w:tc>
        <w:tc>
          <w:tcPr>
            <w:tcW w:w="1210" w:type="dxa"/>
            <w:tcBorders>
              <w:top w:val="nil"/>
              <w:left w:val="nil"/>
              <w:bottom w:val="single" w:sz="4" w:space="0" w:color="auto"/>
              <w:right w:val="nil"/>
            </w:tcBorders>
            <w:shd w:val="clear" w:color="auto" w:fill="auto"/>
            <w:noWrap/>
            <w:vAlign w:val="center"/>
            <w:hideMark/>
          </w:tcPr>
          <w:p w:rsidR="00E75770" w:rsidRPr="00E75770" w:rsidRDefault="00E75770" w:rsidP="004C37F5">
            <w:pPr>
              <w:spacing w:before="120" w:after="240" w:line="240" w:lineRule="auto"/>
              <w:jc w:val="right"/>
              <w:rPr>
                <w:rFonts w:eastAsia="Times New Roman" w:cs="Calibri"/>
                <w:sz w:val="18"/>
                <w:szCs w:val="18"/>
                <w:lang w:eastAsia="cs-CZ"/>
              </w:rPr>
            </w:pPr>
            <w:r w:rsidRPr="00E75770">
              <w:rPr>
                <w:rFonts w:eastAsia="Times New Roman" w:cs="Calibri"/>
                <w:sz w:val="18"/>
                <w:szCs w:val="18"/>
                <w:lang w:eastAsia="cs-CZ"/>
              </w:rPr>
              <w:t>100,0</w:t>
            </w:r>
            <w:r w:rsidR="003162BC">
              <w:rPr>
                <w:rFonts w:eastAsia="Times New Roman" w:cs="Calibri"/>
                <w:sz w:val="18"/>
                <w:szCs w:val="18"/>
                <w:lang w:eastAsia="cs-CZ"/>
              </w:rPr>
              <w:t xml:space="preserve"> </w:t>
            </w:r>
            <w:r w:rsidRPr="00E75770">
              <w:rPr>
                <w:rFonts w:eastAsia="Times New Roman" w:cs="Calibri"/>
                <w:sz w:val="18"/>
                <w:szCs w:val="18"/>
                <w:lang w:eastAsia="cs-CZ"/>
              </w:rPr>
              <w:t>%</w:t>
            </w:r>
          </w:p>
        </w:tc>
        <w:tc>
          <w:tcPr>
            <w:tcW w:w="121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4C37F5">
            <w:pPr>
              <w:spacing w:before="120" w:after="240" w:line="240" w:lineRule="auto"/>
              <w:jc w:val="right"/>
              <w:rPr>
                <w:rFonts w:eastAsia="Times New Roman" w:cs="Calibri"/>
                <w:sz w:val="18"/>
                <w:szCs w:val="18"/>
                <w:lang w:eastAsia="cs-CZ"/>
              </w:rPr>
            </w:pPr>
            <w:r w:rsidRPr="00E75770">
              <w:rPr>
                <w:rFonts w:eastAsia="Times New Roman" w:cs="Calibri"/>
                <w:sz w:val="18"/>
                <w:szCs w:val="18"/>
                <w:lang w:eastAsia="cs-CZ"/>
              </w:rPr>
              <w:t>100,0</w:t>
            </w:r>
            <w:r w:rsidR="003162BC">
              <w:rPr>
                <w:rFonts w:eastAsia="Times New Roman" w:cs="Calibri"/>
                <w:sz w:val="18"/>
                <w:szCs w:val="18"/>
                <w:lang w:eastAsia="cs-CZ"/>
              </w:rPr>
              <w:t xml:space="preserve"> </w:t>
            </w:r>
            <w:r w:rsidRPr="00E75770">
              <w:rPr>
                <w:rFonts w:eastAsia="Times New Roman" w:cs="Calibri"/>
                <w:sz w:val="18"/>
                <w:szCs w:val="18"/>
                <w:lang w:eastAsia="cs-CZ"/>
              </w:rPr>
              <w:t>%</w:t>
            </w:r>
          </w:p>
        </w:tc>
      </w:tr>
    </w:tbl>
    <w:p w:rsidR="00E75770" w:rsidRDefault="003162BC" w:rsidP="004C37F5">
      <w:pPr>
        <w:spacing w:before="120" w:after="240" w:line="240" w:lineRule="auto"/>
        <w:rPr>
          <w:b/>
          <w:szCs w:val="24"/>
        </w:rPr>
      </w:pPr>
      <w:r>
        <w:rPr>
          <w:b/>
          <w:szCs w:val="24"/>
        </w:rPr>
        <w:t xml:space="preserve"> </w:t>
      </w:r>
    </w:p>
    <w:p w:rsidR="00245D79" w:rsidRDefault="00245D79" w:rsidP="004C37F5">
      <w:pPr>
        <w:spacing w:before="120" w:after="240" w:line="240" w:lineRule="auto"/>
        <w:rPr>
          <w:szCs w:val="24"/>
        </w:rPr>
      </w:pPr>
      <w:r w:rsidRPr="00245D79">
        <w:rPr>
          <w:szCs w:val="24"/>
        </w:rPr>
        <w:t>U vlastního kapitálu</w:t>
      </w:r>
      <w:r>
        <w:rPr>
          <w:szCs w:val="24"/>
        </w:rPr>
        <w:t xml:space="preserve"> je u úpadkových podniků vidět, že čím více se blíží okamžik zjištění úpadku, tím vyšší je relativní četnost záporného vlastního kapitálu. Zatímco tři roky před úpadkem má více než 60 % úpadkových podniků vlastní kapitál kladný, jeden rok před úpadkem již četnost kladného vlastního kapitálu nedosahuje ani 30 %. </w:t>
      </w:r>
    </w:p>
    <w:p w:rsidR="00FF0D08" w:rsidRDefault="00FF0D08" w:rsidP="00FF0D08">
      <w:pPr>
        <w:rPr>
          <w:b/>
        </w:rPr>
      </w:pPr>
    </w:p>
    <w:p w:rsidR="00824B10" w:rsidRDefault="00824B10" w:rsidP="00FF0D08">
      <w:pPr>
        <w:rPr>
          <w:b/>
        </w:rPr>
      </w:pPr>
      <w:r w:rsidRPr="00FF0D08">
        <w:rPr>
          <w:b/>
        </w:rPr>
        <w:t>Polarita financování dlouhodobého majetku</w:t>
      </w:r>
    </w:p>
    <w:p w:rsidR="001545FF" w:rsidRDefault="001545FF" w:rsidP="001545FF">
      <w:pPr>
        <w:pStyle w:val="Titulek"/>
        <w:keepNext/>
      </w:pPr>
      <w:bookmarkStart w:id="120" w:name="_Toc31054823"/>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47</w:t>
      </w:r>
      <w:r w:rsidR="00163A91">
        <w:rPr>
          <w:noProof/>
        </w:rPr>
        <w:fldChar w:fldCharType="end"/>
      </w:r>
      <w:r>
        <w:t xml:space="preserve"> Polarita financování dlouhodobého majetku</w:t>
      </w:r>
      <w:bookmarkEnd w:id="120"/>
    </w:p>
    <w:tbl>
      <w:tblPr>
        <w:tblW w:w="9072" w:type="dxa"/>
        <w:tblCellMar>
          <w:left w:w="70" w:type="dxa"/>
          <w:right w:w="70" w:type="dxa"/>
        </w:tblCellMar>
        <w:tblLook w:val="04A0"/>
      </w:tblPr>
      <w:tblGrid>
        <w:gridCol w:w="2829"/>
        <w:gridCol w:w="2613"/>
        <w:gridCol w:w="1210"/>
        <w:gridCol w:w="1210"/>
        <w:gridCol w:w="1210"/>
      </w:tblGrid>
      <w:tr w:rsidR="00E75770" w:rsidRPr="00E75770" w:rsidTr="001545FF">
        <w:trPr>
          <w:trHeight w:val="284"/>
        </w:trPr>
        <w:tc>
          <w:tcPr>
            <w:tcW w:w="5442" w:type="dxa"/>
            <w:gridSpan w:val="2"/>
            <w:tcBorders>
              <w:top w:val="single" w:sz="4" w:space="0" w:color="auto"/>
              <w:left w:val="single" w:sz="4" w:space="0" w:color="auto"/>
              <w:bottom w:val="single" w:sz="4" w:space="0" w:color="auto"/>
              <w:right w:val="nil"/>
            </w:tcBorders>
            <w:shd w:val="clear" w:color="auto" w:fill="auto"/>
            <w:vAlign w:val="center"/>
            <w:hideMark/>
          </w:tcPr>
          <w:p w:rsidR="00E75770" w:rsidRPr="00E75770" w:rsidRDefault="00E75770" w:rsidP="00E01698">
            <w:pPr>
              <w:rPr>
                <w:rFonts w:eastAsia="Times New Roman" w:cs="Calibri"/>
                <w:sz w:val="18"/>
                <w:szCs w:val="18"/>
                <w:lang w:eastAsia="cs-CZ"/>
              </w:rPr>
            </w:pPr>
            <w:r w:rsidRPr="00E75770">
              <w:rPr>
                <w:rFonts w:eastAsia="Times New Roman" w:cs="Calibri"/>
                <w:sz w:val="18"/>
                <w:szCs w:val="18"/>
                <w:lang w:eastAsia="cs-CZ"/>
              </w:rPr>
              <w:t> </w:t>
            </w:r>
          </w:p>
        </w:tc>
        <w:tc>
          <w:tcPr>
            <w:tcW w:w="121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E01698">
            <w:pPr>
              <w:rPr>
                <w:rFonts w:eastAsia="Times New Roman" w:cs="Calibri"/>
                <w:color w:val="264A60"/>
                <w:sz w:val="18"/>
                <w:szCs w:val="18"/>
                <w:lang w:eastAsia="cs-CZ"/>
              </w:rPr>
            </w:pPr>
            <w:r w:rsidRPr="00E75770">
              <w:rPr>
                <w:rFonts w:eastAsia="Times New Roman" w:cs="Calibri"/>
                <w:color w:val="264A60"/>
                <w:sz w:val="18"/>
                <w:szCs w:val="18"/>
                <w:lang w:eastAsia="cs-CZ"/>
              </w:rPr>
              <w:t>1 rok před úpadkem</w:t>
            </w:r>
          </w:p>
        </w:tc>
        <w:tc>
          <w:tcPr>
            <w:tcW w:w="121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E01698">
            <w:pPr>
              <w:rPr>
                <w:rFonts w:eastAsia="Times New Roman" w:cs="Calibri"/>
                <w:color w:val="264A60"/>
                <w:sz w:val="18"/>
                <w:szCs w:val="18"/>
                <w:lang w:eastAsia="cs-CZ"/>
              </w:rPr>
            </w:pPr>
            <w:r w:rsidRPr="00E75770">
              <w:rPr>
                <w:rFonts w:eastAsia="Times New Roman" w:cs="Calibri"/>
                <w:color w:val="264A60"/>
                <w:sz w:val="18"/>
                <w:szCs w:val="18"/>
                <w:lang w:eastAsia="cs-CZ"/>
              </w:rPr>
              <w:t>2 roky před úpadkem</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E75770" w:rsidRPr="00E75770" w:rsidRDefault="00E75770" w:rsidP="00E01698">
            <w:pPr>
              <w:rPr>
                <w:rFonts w:eastAsia="Times New Roman" w:cs="Calibri"/>
                <w:color w:val="264A60"/>
                <w:sz w:val="18"/>
                <w:szCs w:val="18"/>
                <w:lang w:eastAsia="cs-CZ"/>
              </w:rPr>
            </w:pPr>
            <w:r w:rsidRPr="00E75770">
              <w:rPr>
                <w:rFonts w:eastAsia="Times New Roman" w:cs="Calibri"/>
                <w:color w:val="264A60"/>
                <w:sz w:val="18"/>
                <w:szCs w:val="18"/>
                <w:lang w:eastAsia="cs-CZ"/>
              </w:rPr>
              <w:t>3 roky před úpadkem</w:t>
            </w:r>
          </w:p>
        </w:tc>
      </w:tr>
      <w:tr w:rsidR="00E75770" w:rsidRPr="00E75770" w:rsidTr="001545FF">
        <w:trPr>
          <w:trHeight w:val="284"/>
        </w:trPr>
        <w:tc>
          <w:tcPr>
            <w:tcW w:w="2829"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E01698">
            <w:pPr>
              <w:rPr>
                <w:rFonts w:eastAsia="Times New Roman" w:cs="Calibri"/>
                <w:sz w:val="18"/>
                <w:szCs w:val="18"/>
                <w:lang w:eastAsia="cs-CZ"/>
              </w:rPr>
            </w:pPr>
            <w:r w:rsidRPr="00E75770">
              <w:rPr>
                <w:rFonts w:eastAsia="Times New Roman" w:cs="Calibri"/>
                <w:sz w:val="18"/>
                <w:szCs w:val="18"/>
                <w:lang w:eastAsia="cs-CZ"/>
              </w:rPr>
              <w:t>Polarita rozdílu dlouhodobého kapitálu a DIM</w:t>
            </w:r>
          </w:p>
        </w:tc>
        <w:tc>
          <w:tcPr>
            <w:tcW w:w="2613" w:type="dxa"/>
            <w:tcBorders>
              <w:top w:val="nil"/>
              <w:left w:val="nil"/>
              <w:bottom w:val="single" w:sz="4" w:space="0" w:color="AEAEAE"/>
              <w:right w:val="nil"/>
            </w:tcBorders>
            <w:shd w:val="clear" w:color="auto" w:fill="auto"/>
            <w:vAlign w:val="center"/>
            <w:hideMark/>
          </w:tcPr>
          <w:p w:rsidR="00E75770" w:rsidRPr="00E75770" w:rsidRDefault="00E75770" w:rsidP="00E01698">
            <w:pPr>
              <w:rPr>
                <w:rFonts w:eastAsia="Times New Roman" w:cs="Calibri"/>
                <w:sz w:val="18"/>
                <w:szCs w:val="18"/>
                <w:lang w:eastAsia="cs-CZ"/>
              </w:rPr>
            </w:pPr>
            <w:r w:rsidRPr="00E75770">
              <w:rPr>
                <w:rFonts w:eastAsia="Times New Roman" w:cs="Calibri"/>
                <w:sz w:val="18"/>
                <w:szCs w:val="18"/>
                <w:lang w:eastAsia="cs-CZ"/>
              </w:rPr>
              <w:t>Kladný rozdíl dlo</w:t>
            </w:r>
            <w:r w:rsidR="009E0022">
              <w:rPr>
                <w:rFonts w:eastAsia="Times New Roman" w:cs="Calibri"/>
                <w:sz w:val="18"/>
                <w:szCs w:val="18"/>
                <w:lang w:eastAsia="cs-CZ"/>
              </w:rPr>
              <w:t>u</w:t>
            </w:r>
            <w:r w:rsidRPr="00E75770">
              <w:rPr>
                <w:rFonts w:eastAsia="Times New Roman" w:cs="Calibri"/>
                <w:sz w:val="18"/>
                <w:szCs w:val="18"/>
                <w:lang w:eastAsia="cs-CZ"/>
              </w:rPr>
              <w:t>hodobého kapitálu a DIM</w:t>
            </w:r>
          </w:p>
        </w:tc>
        <w:tc>
          <w:tcPr>
            <w:tcW w:w="121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01698">
            <w:pPr>
              <w:rPr>
                <w:rFonts w:eastAsia="Times New Roman" w:cs="Calibri"/>
                <w:sz w:val="18"/>
                <w:szCs w:val="18"/>
                <w:lang w:eastAsia="cs-CZ"/>
              </w:rPr>
            </w:pPr>
            <w:r w:rsidRPr="00E75770">
              <w:rPr>
                <w:rFonts w:eastAsia="Times New Roman" w:cs="Calibri"/>
                <w:sz w:val="18"/>
                <w:szCs w:val="18"/>
                <w:lang w:eastAsia="cs-CZ"/>
              </w:rPr>
              <w:t>22,0</w:t>
            </w:r>
            <w:r w:rsidR="003162BC">
              <w:rPr>
                <w:rFonts w:eastAsia="Times New Roman" w:cs="Calibri"/>
                <w:sz w:val="18"/>
                <w:szCs w:val="18"/>
                <w:lang w:eastAsia="cs-CZ"/>
              </w:rPr>
              <w:t xml:space="preserve"> </w:t>
            </w:r>
            <w:r w:rsidRPr="00E75770">
              <w:rPr>
                <w:rFonts w:eastAsia="Times New Roman" w:cs="Calibri"/>
                <w:sz w:val="18"/>
                <w:szCs w:val="18"/>
                <w:lang w:eastAsia="cs-CZ"/>
              </w:rPr>
              <w:t>%</w:t>
            </w:r>
          </w:p>
        </w:tc>
        <w:tc>
          <w:tcPr>
            <w:tcW w:w="121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01698">
            <w:pPr>
              <w:rPr>
                <w:rFonts w:eastAsia="Times New Roman" w:cs="Calibri"/>
                <w:sz w:val="18"/>
                <w:szCs w:val="18"/>
                <w:lang w:eastAsia="cs-CZ"/>
              </w:rPr>
            </w:pPr>
            <w:r w:rsidRPr="00E75770">
              <w:rPr>
                <w:rFonts w:eastAsia="Times New Roman" w:cs="Calibri"/>
                <w:sz w:val="18"/>
                <w:szCs w:val="18"/>
                <w:lang w:eastAsia="cs-CZ"/>
              </w:rPr>
              <w:t>38,1</w:t>
            </w:r>
            <w:r w:rsidR="003162BC">
              <w:rPr>
                <w:rFonts w:eastAsia="Times New Roman" w:cs="Calibri"/>
                <w:sz w:val="18"/>
                <w:szCs w:val="18"/>
                <w:lang w:eastAsia="cs-CZ"/>
              </w:rPr>
              <w:t xml:space="preserve"> </w:t>
            </w:r>
            <w:r w:rsidRPr="00E75770">
              <w:rPr>
                <w:rFonts w:eastAsia="Times New Roman" w:cs="Calibri"/>
                <w:sz w:val="18"/>
                <w:szCs w:val="18"/>
                <w:lang w:eastAsia="cs-CZ"/>
              </w:rPr>
              <w:t>%</w:t>
            </w:r>
          </w:p>
        </w:tc>
        <w:tc>
          <w:tcPr>
            <w:tcW w:w="121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E75770" w:rsidRDefault="00E75770" w:rsidP="00E01698">
            <w:pPr>
              <w:rPr>
                <w:rFonts w:eastAsia="Times New Roman" w:cs="Calibri"/>
                <w:sz w:val="18"/>
                <w:szCs w:val="18"/>
                <w:lang w:eastAsia="cs-CZ"/>
              </w:rPr>
            </w:pPr>
            <w:r w:rsidRPr="00E75770">
              <w:rPr>
                <w:rFonts w:eastAsia="Times New Roman" w:cs="Calibri"/>
                <w:sz w:val="18"/>
                <w:szCs w:val="18"/>
                <w:lang w:eastAsia="cs-CZ"/>
              </w:rPr>
              <w:t>44,8</w:t>
            </w:r>
            <w:r w:rsidR="003162BC">
              <w:rPr>
                <w:rFonts w:eastAsia="Times New Roman" w:cs="Calibri"/>
                <w:sz w:val="18"/>
                <w:szCs w:val="18"/>
                <w:lang w:eastAsia="cs-CZ"/>
              </w:rPr>
              <w:t xml:space="preserve"> </w:t>
            </w:r>
            <w:r w:rsidRPr="00E75770">
              <w:rPr>
                <w:rFonts w:eastAsia="Times New Roman" w:cs="Calibri"/>
                <w:sz w:val="18"/>
                <w:szCs w:val="18"/>
                <w:lang w:eastAsia="cs-CZ"/>
              </w:rPr>
              <w:t>%</w:t>
            </w:r>
          </w:p>
        </w:tc>
      </w:tr>
      <w:tr w:rsidR="00E75770" w:rsidRPr="00E75770" w:rsidTr="001545FF">
        <w:trPr>
          <w:trHeight w:val="284"/>
        </w:trPr>
        <w:tc>
          <w:tcPr>
            <w:tcW w:w="2829" w:type="dxa"/>
            <w:vMerge/>
            <w:tcBorders>
              <w:top w:val="nil"/>
              <w:left w:val="single" w:sz="4" w:space="0" w:color="auto"/>
              <w:bottom w:val="single" w:sz="4" w:space="0" w:color="AEAEAE"/>
              <w:right w:val="nil"/>
            </w:tcBorders>
            <w:vAlign w:val="center"/>
            <w:hideMark/>
          </w:tcPr>
          <w:p w:rsidR="00E75770" w:rsidRPr="00E75770" w:rsidRDefault="00E75770" w:rsidP="00E01698">
            <w:pPr>
              <w:rPr>
                <w:rFonts w:eastAsia="Times New Roman" w:cs="Calibri"/>
                <w:sz w:val="18"/>
                <w:szCs w:val="18"/>
                <w:lang w:eastAsia="cs-CZ"/>
              </w:rPr>
            </w:pPr>
          </w:p>
        </w:tc>
        <w:tc>
          <w:tcPr>
            <w:tcW w:w="2613" w:type="dxa"/>
            <w:tcBorders>
              <w:top w:val="nil"/>
              <w:left w:val="nil"/>
              <w:bottom w:val="single" w:sz="4" w:space="0" w:color="AEAEAE"/>
              <w:right w:val="nil"/>
            </w:tcBorders>
            <w:shd w:val="clear" w:color="auto" w:fill="auto"/>
            <w:vAlign w:val="center"/>
            <w:hideMark/>
          </w:tcPr>
          <w:p w:rsidR="00E75770" w:rsidRPr="00B329D3" w:rsidRDefault="00E75770" w:rsidP="00E01698">
            <w:pPr>
              <w:rPr>
                <w:rFonts w:eastAsia="Times New Roman" w:cs="Calibri"/>
                <w:b/>
                <w:sz w:val="18"/>
                <w:szCs w:val="18"/>
                <w:lang w:eastAsia="cs-CZ"/>
              </w:rPr>
            </w:pPr>
            <w:r w:rsidRPr="00B329D3">
              <w:rPr>
                <w:rFonts w:eastAsia="Times New Roman" w:cs="Calibri"/>
                <w:b/>
                <w:sz w:val="18"/>
                <w:szCs w:val="18"/>
                <w:lang w:eastAsia="cs-CZ"/>
              </w:rPr>
              <w:t>Záporný rozdíl dlo</w:t>
            </w:r>
            <w:r w:rsidR="009E0022" w:rsidRPr="00B329D3">
              <w:rPr>
                <w:rFonts w:eastAsia="Times New Roman" w:cs="Calibri"/>
                <w:b/>
                <w:sz w:val="18"/>
                <w:szCs w:val="18"/>
                <w:lang w:eastAsia="cs-CZ"/>
              </w:rPr>
              <w:t>u</w:t>
            </w:r>
            <w:r w:rsidRPr="00B329D3">
              <w:rPr>
                <w:rFonts w:eastAsia="Times New Roman" w:cs="Calibri"/>
                <w:b/>
                <w:sz w:val="18"/>
                <w:szCs w:val="18"/>
                <w:lang w:eastAsia="cs-CZ"/>
              </w:rPr>
              <w:t>hodobého kapitálu a DIM</w:t>
            </w:r>
          </w:p>
        </w:tc>
        <w:tc>
          <w:tcPr>
            <w:tcW w:w="1210" w:type="dxa"/>
            <w:tcBorders>
              <w:top w:val="nil"/>
              <w:left w:val="nil"/>
              <w:bottom w:val="single" w:sz="4" w:space="0" w:color="AEAEAE"/>
              <w:right w:val="nil"/>
            </w:tcBorders>
            <w:shd w:val="clear" w:color="auto" w:fill="auto"/>
            <w:noWrap/>
            <w:vAlign w:val="center"/>
            <w:hideMark/>
          </w:tcPr>
          <w:p w:rsidR="00E75770" w:rsidRPr="00B329D3" w:rsidRDefault="00E75770" w:rsidP="00E01698">
            <w:pPr>
              <w:rPr>
                <w:rFonts w:eastAsia="Times New Roman" w:cs="Calibri"/>
                <w:b/>
                <w:sz w:val="18"/>
                <w:szCs w:val="18"/>
                <w:lang w:eastAsia="cs-CZ"/>
              </w:rPr>
            </w:pPr>
            <w:r w:rsidRPr="00B329D3">
              <w:rPr>
                <w:rFonts w:eastAsia="Times New Roman" w:cs="Calibri"/>
                <w:b/>
                <w:sz w:val="18"/>
                <w:szCs w:val="18"/>
                <w:lang w:eastAsia="cs-CZ"/>
              </w:rPr>
              <w:t>78,0</w:t>
            </w:r>
            <w:r w:rsidR="003162BC">
              <w:rPr>
                <w:rFonts w:eastAsia="Times New Roman" w:cs="Calibri"/>
                <w:b/>
                <w:sz w:val="18"/>
                <w:szCs w:val="18"/>
                <w:lang w:eastAsia="cs-CZ"/>
              </w:rPr>
              <w:t xml:space="preserve"> </w:t>
            </w:r>
            <w:r w:rsidRPr="00B329D3">
              <w:rPr>
                <w:rFonts w:eastAsia="Times New Roman" w:cs="Calibri"/>
                <w:b/>
                <w:sz w:val="18"/>
                <w:szCs w:val="18"/>
                <w:lang w:eastAsia="cs-CZ"/>
              </w:rPr>
              <w:t>%</w:t>
            </w:r>
          </w:p>
        </w:tc>
        <w:tc>
          <w:tcPr>
            <w:tcW w:w="1210" w:type="dxa"/>
            <w:tcBorders>
              <w:top w:val="nil"/>
              <w:left w:val="nil"/>
              <w:bottom w:val="single" w:sz="4" w:space="0" w:color="AEAEAE"/>
              <w:right w:val="nil"/>
            </w:tcBorders>
            <w:shd w:val="clear" w:color="auto" w:fill="auto"/>
            <w:noWrap/>
            <w:vAlign w:val="center"/>
            <w:hideMark/>
          </w:tcPr>
          <w:p w:rsidR="00E75770" w:rsidRPr="00B329D3" w:rsidRDefault="00E75770" w:rsidP="00E01698">
            <w:pPr>
              <w:rPr>
                <w:rFonts w:eastAsia="Times New Roman" w:cs="Calibri"/>
                <w:b/>
                <w:sz w:val="18"/>
                <w:szCs w:val="18"/>
                <w:lang w:eastAsia="cs-CZ"/>
              </w:rPr>
            </w:pPr>
            <w:r w:rsidRPr="00B329D3">
              <w:rPr>
                <w:rFonts w:eastAsia="Times New Roman" w:cs="Calibri"/>
                <w:b/>
                <w:sz w:val="18"/>
                <w:szCs w:val="18"/>
                <w:lang w:eastAsia="cs-CZ"/>
              </w:rPr>
              <w:t>61,9</w:t>
            </w:r>
            <w:r w:rsidR="003162BC">
              <w:rPr>
                <w:rFonts w:eastAsia="Times New Roman" w:cs="Calibri"/>
                <w:b/>
                <w:sz w:val="18"/>
                <w:szCs w:val="18"/>
                <w:lang w:eastAsia="cs-CZ"/>
              </w:rPr>
              <w:t xml:space="preserve"> </w:t>
            </w:r>
            <w:r w:rsidRPr="00B329D3">
              <w:rPr>
                <w:rFonts w:eastAsia="Times New Roman" w:cs="Calibri"/>
                <w:b/>
                <w:sz w:val="18"/>
                <w:szCs w:val="18"/>
                <w:lang w:eastAsia="cs-CZ"/>
              </w:rPr>
              <w:t>%</w:t>
            </w:r>
          </w:p>
        </w:tc>
        <w:tc>
          <w:tcPr>
            <w:tcW w:w="1210" w:type="dxa"/>
            <w:tcBorders>
              <w:top w:val="nil"/>
              <w:left w:val="nil"/>
              <w:bottom w:val="single" w:sz="4" w:space="0" w:color="AEAEAE"/>
              <w:right w:val="single" w:sz="4" w:space="0" w:color="auto"/>
            </w:tcBorders>
            <w:shd w:val="clear" w:color="auto" w:fill="auto"/>
            <w:noWrap/>
            <w:vAlign w:val="center"/>
            <w:hideMark/>
          </w:tcPr>
          <w:p w:rsidR="00E75770" w:rsidRPr="00B329D3" w:rsidRDefault="00E75770" w:rsidP="00E01698">
            <w:pPr>
              <w:rPr>
                <w:rFonts w:eastAsia="Times New Roman" w:cs="Calibri"/>
                <w:b/>
                <w:sz w:val="18"/>
                <w:szCs w:val="18"/>
                <w:lang w:eastAsia="cs-CZ"/>
              </w:rPr>
            </w:pPr>
            <w:r w:rsidRPr="00B329D3">
              <w:rPr>
                <w:rFonts w:eastAsia="Times New Roman" w:cs="Calibri"/>
                <w:b/>
                <w:sz w:val="18"/>
                <w:szCs w:val="18"/>
                <w:lang w:eastAsia="cs-CZ"/>
              </w:rPr>
              <w:t>55,2</w:t>
            </w:r>
            <w:r w:rsidR="003162BC">
              <w:rPr>
                <w:rFonts w:eastAsia="Times New Roman" w:cs="Calibri"/>
                <w:b/>
                <w:sz w:val="18"/>
                <w:szCs w:val="18"/>
                <w:lang w:eastAsia="cs-CZ"/>
              </w:rPr>
              <w:t xml:space="preserve"> </w:t>
            </w:r>
            <w:r w:rsidRPr="00B329D3">
              <w:rPr>
                <w:rFonts w:eastAsia="Times New Roman" w:cs="Calibri"/>
                <w:b/>
                <w:sz w:val="18"/>
                <w:szCs w:val="18"/>
                <w:lang w:eastAsia="cs-CZ"/>
              </w:rPr>
              <w:t>%</w:t>
            </w:r>
          </w:p>
        </w:tc>
      </w:tr>
      <w:tr w:rsidR="00E75770" w:rsidRPr="00E75770" w:rsidTr="001545FF">
        <w:trPr>
          <w:trHeight w:val="284"/>
        </w:trPr>
        <w:tc>
          <w:tcPr>
            <w:tcW w:w="5442"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E01698">
            <w:pPr>
              <w:rPr>
                <w:rFonts w:eastAsia="Times New Roman" w:cs="Calibri"/>
                <w:sz w:val="18"/>
                <w:szCs w:val="18"/>
                <w:lang w:eastAsia="cs-CZ"/>
              </w:rPr>
            </w:pPr>
            <w:r w:rsidRPr="00E75770">
              <w:rPr>
                <w:rFonts w:eastAsia="Times New Roman" w:cs="Calibri"/>
                <w:sz w:val="18"/>
                <w:szCs w:val="18"/>
                <w:lang w:eastAsia="cs-CZ"/>
              </w:rPr>
              <w:t>Total</w:t>
            </w:r>
          </w:p>
        </w:tc>
        <w:tc>
          <w:tcPr>
            <w:tcW w:w="1210" w:type="dxa"/>
            <w:tcBorders>
              <w:top w:val="nil"/>
              <w:left w:val="nil"/>
              <w:bottom w:val="single" w:sz="4" w:space="0" w:color="auto"/>
              <w:right w:val="nil"/>
            </w:tcBorders>
            <w:shd w:val="clear" w:color="auto" w:fill="auto"/>
            <w:noWrap/>
            <w:vAlign w:val="center"/>
            <w:hideMark/>
          </w:tcPr>
          <w:p w:rsidR="00E75770" w:rsidRPr="00E75770" w:rsidRDefault="00E75770" w:rsidP="00E01698">
            <w:pPr>
              <w:rPr>
                <w:rFonts w:eastAsia="Times New Roman" w:cs="Calibri"/>
                <w:sz w:val="18"/>
                <w:szCs w:val="18"/>
                <w:lang w:eastAsia="cs-CZ"/>
              </w:rPr>
            </w:pPr>
            <w:r w:rsidRPr="00E75770">
              <w:rPr>
                <w:rFonts w:eastAsia="Times New Roman" w:cs="Calibri"/>
                <w:sz w:val="18"/>
                <w:szCs w:val="18"/>
                <w:lang w:eastAsia="cs-CZ"/>
              </w:rPr>
              <w:t>100,0</w:t>
            </w:r>
            <w:r w:rsidR="003162BC">
              <w:rPr>
                <w:rFonts w:eastAsia="Times New Roman" w:cs="Calibri"/>
                <w:sz w:val="18"/>
                <w:szCs w:val="18"/>
                <w:lang w:eastAsia="cs-CZ"/>
              </w:rPr>
              <w:t xml:space="preserve"> </w:t>
            </w:r>
            <w:r w:rsidRPr="00E75770">
              <w:rPr>
                <w:rFonts w:eastAsia="Times New Roman" w:cs="Calibri"/>
                <w:sz w:val="18"/>
                <w:szCs w:val="18"/>
                <w:lang w:eastAsia="cs-CZ"/>
              </w:rPr>
              <w:t>%</w:t>
            </w:r>
          </w:p>
        </w:tc>
        <w:tc>
          <w:tcPr>
            <w:tcW w:w="1210" w:type="dxa"/>
            <w:tcBorders>
              <w:top w:val="nil"/>
              <w:left w:val="nil"/>
              <w:bottom w:val="single" w:sz="4" w:space="0" w:color="auto"/>
              <w:right w:val="nil"/>
            </w:tcBorders>
            <w:shd w:val="clear" w:color="auto" w:fill="auto"/>
            <w:noWrap/>
            <w:vAlign w:val="center"/>
            <w:hideMark/>
          </w:tcPr>
          <w:p w:rsidR="00E75770" w:rsidRPr="00E75770" w:rsidRDefault="00E75770" w:rsidP="00E01698">
            <w:pPr>
              <w:rPr>
                <w:rFonts w:eastAsia="Times New Roman" w:cs="Calibri"/>
                <w:sz w:val="18"/>
                <w:szCs w:val="18"/>
                <w:lang w:eastAsia="cs-CZ"/>
              </w:rPr>
            </w:pPr>
            <w:r w:rsidRPr="00E75770">
              <w:rPr>
                <w:rFonts w:eastAsia="Times New Roman" w:cs="Calibri"/>
                <w:sz w:val="18"/>
                <w:szCs w:val="18"/>
                <w:lang w:eastAsia="cs-CZ"/>
              </w:rPr>
              <w:t>100,0</w:t>
            </w:r>
            <w:r w:rsidR="003162BC">
              <w:rPr>
                <w:rFonts w:eastAsia="Times New Roman" w:cs="Calibri"/>
                <w:sz w:val="18"/>
                <w:szCs w:val="18"/>
                <w:lang w:eastAsia="cs-CZ"/>
              </w:rPr>
              <w:t xml:space="preserve"> </w:t>
            </w:r>
            <w:r w:rsidRPr="00E75770">
              <w:rPr>
                <w:rFonts w:eastAsia="Times New Roman" w:cs="Calibri"/>
                <w:sz w:val="18"/>
                <w:szCs w:val="18"/>
                <w:lang w:eastAsia="cs-CZ"/>
              </w:rPr>
              <w:t>%</w:t>
            </w:r>
          </w:p>
        </w:tc>
        <w:tc>
          <w:tcPr>
            <w:tcW w:w="121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E01698">
            <w:pPr>
              <w:rPr>
                <w:rFonts w:eastAsia="Times New Roman" w:cs="Calibri"/>
                <w:sz w:val="18"/>
                <w:szCs w:val="18"/>
                <w:lang w:eastAsia="cs-CZ"/>
              </w:rPr>
            </w:pPr>
            <w:r w:rsidRPr="00E75770">
              <w:rPr>
                <w:rFonts w:eastAsia="Times New Roman" w:cs="Calibri"/>
                <w:sz w:val="18"/>
                <w:szCs w:val="18"/>
                <w:lang w:eastAsia="cs-CZ"/>
              </w:rPr>
              <w:t>100,0</w:t>
            </w:r>
            <w:r w:rsidR="003162BC">
              <w:rPr>
                <w:rFonts w:eastAsia="Times New Roman" w:cs="Calibri"/>
                <w:sz w:val="18"/>
                <w:szCs w:val="18"/>
                <w:lang w:eastAsia="cs-CZ"/>
              </w:rPr>
              <w:t xml:space="preserve"> </w:t>
            </w:r>
            <w:r w:rsidRPr="00E75770">
              <w:rPr>
                <w:rFonts w:eastAsia="Times New Roman" w:cs="Calibri"/>
                <w:sz w:val="18"/>
                <w:szCs w:val="18"/>
                <w:lang w:eastAsia="cs-CZ"/>
              </w:rPr>
              <w:t>%</w:t>
            </w:r>
          </w:p>
        </w:tc>
      </w:tr>
    </w:tbl>
    <w:p w:rsidR="00E75770" w:rsidRDefault="00E75770" w:rsidP="00E01698">
      <w:pPr>
        <w:rPr>
          <w:b/>
          <w:szCs w:val="24"/>
        </w:rPr>
      </w:pPr>
    </w:p>
    <w:p w:rsidR="006A291C" w:rsidRDefault="00C75D1E" w:rsidP="00E01698">
      <w:pPr>
        <w:rPr>
          <w:rFonts w:cs="Times New Roman"/>
          <w:szCs w:val="24"/>
        </w:rPr>
      </w:pPr>
      <w:r w:rsidRPr="00CF225B">
        <w:rPr>
          <w:rFonts w:cs="Times New Roman"/>
          <w:szCs w:val="24"/>
        </w:rPr>
        <w:t xml:space="preserve">Relativní četnost polarity financování dlouhodobého majetku indikuje, jaký podíl úpadkových podniků se v jednotlivých letech před úpadkem potýkal se stavem, kdy dlouhodobý majetek není financován dlouhodobým kapitálem (tedy na </w:t>
      </w:r>
      <w:proofErr w:type="gramStart"/>
      <w:r w:rsidRPr="00CF225B">
        <w:rPr>
          <w:rFonts w:cs="Times New Roman"/>
          <w:szCs w:val="24"/>
        </w:rPr>
        <w:t>je</w:t>
      </w:r>
      <w:proofErr w:type="gramEnd"/>
      <w:r w:rsidRPr="00CF225B">
        <w:rPr>
          <w:rFonts w:cs="Times New Roman"/>
          <w:szCs w:val="24"/>
        </w:rPr>
        <w:t xml:space="preserve"> částečně financován kapitálem krátkodobým). Vzhledem k tomu, že celkový dlouhodobý kapitál sestává z celkového vlastního kapitálu a dlouhodobého cizího kapitálu, financují podniky se zápornou polaritou financování dlouhodobého majetku dlouhodobý majetek krátkodobými závazky. Je vidět, že </w:t>
      </w:r>
      <w:r w:rsidRPr="00CF225B">
        <w:rPr>
          <w:rFonts w:cs="Times New Roman"/>
          <w:szCs w:val="24"/>
        </w:rPr>
        <w:lastRenderedPageBreak/>
        <w:t>četnost negativního salda se s blížícím se úpadkem zvyšuje, což je zřejmě zčásti dáno snižováním vlastního kapitálu jako součásti kapitálu dlouhodobého.</w:t>
      </w:r>
    </w:p>
    <w:p w:rsidR="00E01698" w:rsidRPr="00CF225B" w:rsidRDefault="00E01698" w:rsidP="00E01698">
      <w:pPr>
        <w:rPr>
          <w:rFonts w:cs="Times New Roman"/>
          <w:szCs w:val="24"/>
        </w:rPr>
      </w:pPr>
    </w:p>
    <w:p w:rsidR="00CC2806" w:rsidRDefault="005A5A62" w:rsidP="005A5A62">
      <w:pPr>
        <w:pStyle w:val="Nadpis3"/>
        <w:ind w:left="720"/>
      </w:pPr>
      <w:bookmarkStart w:id="121" w:name="_Toc31054470"/>
      <w:r>
        <w:t>2.3.</w:t>
      </w:r>
      <w:r w:rsidR="00B370E5">
        <w:t>7</w:t>
      </w:r>
      <w:r>
        <w:t>.</w:t>
      </w:r>
      <w:r>
        <w:tab/>
      </w:r>
      <w:r w:rsidR="00CC2806" w:rsidRPr="00CF225B">
        <w:t>Syntetické ukazatele</w:t>
      </w:r>
      <w:bookmarkEnd w:id="121"/>
    </w:p>
    <w:p w:rsidR="001545FF" w:rsidRDefault="001545FF" w:rsidP="001545FF">
      <w:pPr>
        <w:pStyle w:val="Titulek"/>
        <w:keepNext/>
      </w:pPr>
      <w:bookmarkStart w:id="122" w:name="_Toc31054824"/>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48</w:t>
      </w:r>
      <w:r w:rsidR="00163A91">
        <w:rPr>
          <w:noProof/>
        </w:rPr>
        <w:fldChar w:fldCharType="end"/>
      </w:r>
      <w:r>
        <w:t xml:space="preserve"> Syntetické ukazatele</w:t>
      </w:r>
      <w:bookmarkEnd w:id="122"/>
    </w:p>
    <w:tbl>
      <w:tblPr>
        <w:tblW w:w="9072" w:type="dxa"/>
        <w:tblCellMar>
          <w:left w:w="70" w:type="dxa"/>
          <w:right w:w="70" w:type="dxa"/>
        </w:tblCellMar>
        <w:tblLook w:val="04A0"/>
      </w:tblPr>
      <w:tblGrid>
        <w:gridCol w:w="2490"/>
        <w:gridCol w:w="3291"/>
        <w:gridCol w:w="1097"/>
        <w:gridCol w:w="1097"/>
        <w:gridCol w:w="1097"/>
      </w:tblGrid>
      <w:tr w:rsidR="00CC2806" w:rsidRPr="00CC2806" w:rsidTr="00CC2806">
        <w:trPr>
          <w:trHeight w:val="170"/>
        </w:trPr>
        <w:tc>
          <w:tcPr>
            <w:tcW w:w="5781" w:type="dxa"/>
            <w:gridSpan w:val="2"/>
            <w:tcBorders>
              <w:top w:val="single" w:sz="4" w:space="0" w:color="auto"/>
              <w:left w:val="single" w:sz="4" w:space="0" w:color="auto"/>
              <w:bottom w:val="single" w:sz="4" w:space="0" w:color="152935"/>
              <w:right w:val="nil"/>
            </w:tcBorders>
            <w:shd w:val="clear" w:color="auto" w:fill="auto"/>
            <w:vAlign w:val="bottom"/>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 </w:t>
            </w:r>
          </w:p>
        </w:tc>
        <w:tc>
          <w:tcPr>
            <w:tcW w:w="1097" w:type="dxa"/>
            <w:tcBorders>
              <w:top w:val="single" w:sz="4" w:space="0" w:color="auto"/>
              <w:left w:val="nil"/>
              <w:bottom w:val="single" w:sz="4" w:space="0" w:color="auto"/>
              <w:right w:val="nil"/>
            </w:tcBorders>
            <w:shd w:val="clear" w:color="auto" w:fill="auto"/>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 rok před úpadkem</w:t>
            </w:r>
          </w:p>
        </w:tc>
        <w:tc>
          <w:tcPr>
            <w:tcW w:w="1097" w:type="dxa"/>
            <w:tcBorders>
              <w:top w:val="single" w:sz="4" w:space="0" w:color="auto"/>
              <w:left w:val="nil"/>
              <w:bottom w:val="single" w:sz="4" w:space="0" w:color="auto"/>
              <w:right w:val="nil"/>
            </w:tcBorders>
            <w:shd w:val="clear" w:color="auto" w:fill="auto"/>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2 roky před úpadkem</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3 roky před úpadkem</w:t>
            </w:r>
          </w:p>
        </w:tc>
      </w:tr>
      <w:tr w:rsidR="00CC2806" w:rsidRPr="00CC2806" w:rsidTr="00CC2806">
        <w:trPr>
          <w:trHeight w:val="170"/>
        </w:trPr>
        <w:tc>
          <w:tcPr>
            <w:tcW w:w="2490" w:type="dxa"/>
            <w:vMerge w:val="restart"/>
            <w:tcBorders>
              <w:top w:val="nil"/>
              <w:left w:val="single" w:sz="4" w:space="0" w:color="auto"/>
              <w:bottom w:val="single" w:sz="4" w:space="0" w:color="AEAEAE"/>
              <w:right w:val="nil"/>
            </w:tcBorders>
            <w:shd w:val="clear" w:color="auto" w:fill="auto"/>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Kategorie Kralickova rychlého testu</w:t>
            </w: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E01698">
            <w:pPr>
              <w:rPr>
                <w:rFonts w:eastAsia="Times New Roman" w:cs="Calibri"/>
                <w:b/>
                <w:sz w:val="18"/>
                <w:szCs w:val="18"/>
                <w:lang w:eastAsia="cs-CZ"/>
              </w:rPr>
            </w:pPr>
            <w:r w:rsidRPr="00CC2806">
              <w:rPr>
                <w:rFonts w:eastAsia="Times New Roman" w:cs="Calibri"/>
                <w:b/>
                <w:sz w:val="18"/>
                <w:szCs w:val="18"/>
                <w:lang w:eastAsia="cs-CZ"/>
              </w:rPr>
              <w:t>3,01+ (Bankrotní podniky)</w:t>
            </w:r>
          </w:p>
        </w:tc>
        <w:tc>
          <w:tcPr>
            <w:tcW w:w="1097" w:type="dxa"/>
            <w:tcBorders>
              <w:top w:val="single" w:sz="4" w:space="0" w:color="152935"/>
              <w:left w:val="nil"/>
              <w:bottom w:val="single" w:sz="4" w:space="0" w:color="AEAEAE"/>
              <w:right w:val="nil"/>
            </w:tcBorders>
            <w:shd w:val="clear" w:color="auto" w:fill="auto"/>
            <w:noWrap/>
            <w:vAlign w:val="center"/>
            <w:hideMark/>
          </w:tcPr>
          <w:p w:rsidR="00CC2806" w:rsidRPr="00CC2806" w:rsidRDefault="00CC2806" w:rsidP="00E01698">
            <w:pPr>
              <w:rPr>
                <w:rFonts w:eastAsia="Times New Roman" w:cs="Calibri"/>
                <w:b/>
                <w:sz w:val="18"/>
                <w:szCs w:val="18"/>
                <w:lang w:eastAsia="cs-CZ"/>
              </w:rPr>
            </w:pPr>
            <w:r w:rsidRPr="00CC2806">
              <w:rPr>
                <w:rFonts w:eastAsia="Times New Roman" w:cs="Calibri"/>
                <w:b/>
                <w:sz w:val="18"/>
                <w:szCs w:val="18"/>
                <w:lang w:eastAsia="cs-CZ"/>
              </w:rPr>
              <w:t>90,1</w:t>
            </w:r>
            <w:r w:rsidR="003162BC">
              <w:rPr>
                <w:rFonts w:eastAsia="Times New Roman" w:cs="Calibri"/>
                <w:b/>
                <w:sz w:val="18"/>
                <w:szCs w:val="18"/>
                <w:lang w:eastAsia="cs-CZ"/>
              </w:rPr>
              <w:t xml:space="preserve"> </w:t>
            </w:r>
            <w:r w:rsidRPr="00CC2806">
              <w:rPr>
                <w:rFonts w:eastAsia="Times New Roman" w:cs="Calibri"/>
                <w:b/>
                <w:sz w:val="18"/>
                <w:szCs w:val="18"/>
                <w:lang w:eastAsia="cs-CZ"/>
              </w:rPr>
              <w:t>%</w:t>
            </w:r>
          </w:p>
        </w:tc>
        <w:tc>
          <w:tcPr>
            <w:tcW w:w="1097" w:type="dxa"/>
            <w:tcBorders>
              <w:top w:val="single" w:sz="4" w:space="0" w:color="152935"/>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E01698">
            <w:pPr>
              <w:rPr>
                <w:rFonts w:eastAsia="Times New Roman" w:cs="Calibri"/>
                <w:b/>
                <w:sz w:val="18"/>
                <w:szCs w:val="18"/>
                <w:lang w:eastAsia="cs-CZ"/>
              </w:rPr>
            </w:pPr>
            <w:r w:rsidRPr="00CC2806">
              <w:rPr>
                <w:rFonts w:eastAsia="Times New Roman" w:cs="Calibri"/>
                <w:b/>
                <w:sz w:val="18"/>
                <w:szCs w:val="18"/>
                <w:lang w:eastAsia="cs-CZ"/>
              </w:rPr>
              <w:t>86,9</w:t>
            </w:r>
            <w:r w:rsidR="003162BC">
              <w:rPr>
                <w:rFonts w:eastAsia="Times New Roman" w:cs="Calibri"/>
                <w:b/>
                <w:sz w:val="18"/>
                <w:szCs w:val="18"/>
                <w:lang w:eastAsia="cs-CZ"/>
              </w:rPr>
              <w:t xml:space="preserve"> </w:t>
            </w:r>
            <w:r w:rsidRPr="00CC2806">
              <w:rPr>
                <w:rFonts w:eastAsia="Times New Roman" w:cs="Calibri"/>
                <w:b/>
                <w:sz w:val="18"/>
                <w:szCs w:val="18"/>
                <w:lang w:eastAsia="cs-CZ"/>
              </w:rPr>
              <w:t>%</w:t>
            </w:r>
          </w:p>
        </w:tc>
        <w:tc>
          <w:tcPr>
            <w:tcW w:w="1097" w:type="dxa"/>
            <w:tcBorders>
              <w:top w:val="single" w:sz="4" w:space="0" w:color="152935"/>
              <w:left w:val="nil"/>
              <w:bottom w:val="single" w:sz="4" w:space="0" w:color="AEAEAE"/>
              <w:right w:val="single" w:sz="4" w:space="0" w:color="auto"/>
            </w:tcBorders>
            <w:shd w:val="clear" w:color="auto" w:fill="auto"/>
            <w:noWrap/>
            <w:vAlign w:val="center"/>
            <w:hideMark/>
          </w:tcPr>
          <w:p w:rsidR="00CC2806" w:rsidRPr="00CC2806" w:rsidRDefault="00CC2806" w:rsidP="00E01698">
            <w:pPr>
              <w:rPr>
                <w:rFonts w:eastAsia="Times New Roman" w:cs="Calibri"/>
                <w:b/>
                <w:sz w:val="18"/>
                <w:szCs w:val="18"/>
                <w:lang w:eastAsia="cs-CZ"/>
              </w:rPr>
            </w:pPr>
            <w:r w:rsidRPr="00CC2806">
              <w:rPr>
                <w:rFonts w:eastAsia="Times New Roman" w:cs="Calibri"/>
                <w:b/>
                <w:sz w:val="18"/>
                <w:szCs w:val="18"/>
                <w:lang w:eastAsia="cs-CZ"/>
              </w:rPr>
              <w:t>82,6</w:t>
            </w:r>
            <w:r w:rsidR="003162BC">
              <w:rPr>
                <w:rFonts w:eastAsia="Times New Roman" w:cs="Calibri"/>
                <w:b/>
                <w:sz w:val="18"/>
                <w:szCs w:val="18"/>
                <w:lang w:eastAsia="cs-CZ"/>
              </w:rPr>
              <w:t xml:space="preserve"> </w:t>
            </w:r>
            <w:r w:rsidRPr="00CC2806">
              <w:rPr>
                <w:rFonts w:eastAsia="Times New Roman" w:cs="Calibri"/>
                <w:b/>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E01698">
            <w:pPr>
              <w:rPr>
                <w:rFonts w:eastAsia="Times New Roman"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2,00 - 3,00 (Šedá zóna)</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8,0</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10,7</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13,2</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E01698">
            <w:pPr>
              <w:rPr>
                <w:rFonts w:eastAsia="Times New Roman"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&lt;= 1,99 (Bonitní podniky)</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1,9</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2,4</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4,2</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r>
      <w:tr w:rsidR="00CC2806" w:rsidRPr="00CC2806" w:rsidTr="00CC2806">
        <w:trPr>
          <w:trHeight w:val="170"/>
        </w:trPr>
        <w:tc>
          <w:tcPr>
            <w:tcW w:w="5781" w:type="dxa"/>
            <w:gridSpan w:val="2"/>
            <w:tcBorders>
              <w:top w:val="single" w:sz="4" w:space="0" w:color="AEAEAE"/>
              <w:left w:val="single" w:sz="4" w:space="0" w:color="auto"/>
              <w:bottom w:val="single" w:sz="4" w:space="0" w:color="152935"/>
              <w:right w:val="nil"/>
            </w:tcBorders>
            <w:shd w:val="clear" w:color="auto" w:fill="auto"/>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Total</w:t>
            </w:r>
          </w:p>
        </w:tc>
        <w:tc>
          <w:tcPr>
            <w:tcW w:w="1097" w:type="dxa"/>
            <w:tcBorders>
              <w:top w:val="nil"/>
              <w:left w:val="nil"/>
              <w:bottom w:val="single" w:sz="4" w:space="0" w:color="152935"/>
              <w:right w:val="nil"/>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100,0</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single" w:sz="4" w:space="0" w:color="E0E0E0"/>
              <w:bottom w:val="single" w:sz="4" w:space="0" w:color="152935"/>
              <w:right w:val="single" w:sz="4" w:space="0" w:color="E0E0E0"/>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100,0</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nil"/>
              <w:bottom w:val="single" w:sz="4" w:space="0" w:color="152935"/>
              <w:right w:val="single" w:sz="4" w:space="0" w:color="auto"/>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100,0</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r>
      <w:tr w:rsidR="00CC2806" w:rsidRPr="00CC2806" w:rsidTr="00CC2806">
        <w:trPr>
          <w:trHeight w:val="170"/>
        </w:trPr>
        <w:tc>
          <w:tcPr>
            <w:tcW w:w="2490" w:type="dxa"/>
            <w:vMerge w:val="restart"/>
            <w:tcBorders>
              <w:top w:val="nil"/>
              <w:left w:val="single" w:sz="4" w:space="0" w:color="auto"/>
              <w:bottom w:val="single" w:sz="4" w:space="0" w:color="AEAEAE"/>
              <w:right w:val="nil"/>
            </w:tcBorders>
            <w:shd w:val="clear" w:color="auto" w:fill="auto"/>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Kategorie Altmanova Z-skóre</w:t>
            </w: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E01698">
            <w:pPr>
              <w:rPr>
                <w:rFonts w:eastAsia="Times New Roman" w:cs="Calibri"/>
                <w:b/>
                <w:sz w:val="18"/>
                <w:szCs w:val="18"/>
                <w:lang w:eastAsia="cs-CZ"/>
              </w:rPr>
            </w:pPr>
            <w:r w:rsidRPr="00CC2806">
              <w:rPr>
                <w:rFonts w:eastAsia="Times New Roman" w:cs="Calibri"/>
                <w:b/>
                <w:sz w:val="18"/>
                <w:szCs w:val="18"/>
                <w:lang w:eastAsia="cs-CZ"/>
              </w:rPr>
              <w:t>&lt;= 1,230 (Bankrotní podniky)</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E01698">
            <w:pPr>
              <w:rPr>
                <w:rFonts w:eastAsia="Times New Roman" w:cs="Calibri"/>
                <w:b/>
                <w:sz w:val="18"/>
                <w:szCs w:val="18"/>
                <w:lang w:eastAsia="cs-CZ"/>
              </w:rPr>
            </w:pPr>
            <w:r w:rsidRPr="00CC2806">
              <w:rPr>
                <w:rFonts w:eastAsia="Times New Roman" w:cs="Calibri"/>
                <w:b/>
                <w:sz w:val="18"/>
                <w:szCs w:val="18"/>
                <w:lang w:eastAsia="cs-CZ"/>
              </w:rPr>
              <w:t>71,2</w:t>
            </w:r>
            <w:r w:rsidR="003162BC">
              <w:rPr>
                <w:rFonts w:eastAsia="Times New Roman" w:cs="Calibri"/>
                <w:b/>
                <w:sz w:val="18"/>
                <w:szCs w:val="18"/>
                <w:lang w:eastAsia="cs-CZ"/>
              </w:rPr>
              <w:t xml:space="preserve"> </w:t>
            </w:r>
            <w:r w:rsidRPr="00CC2806">
              <w:rPr>
                <w:rFonts w:eastAsia="Times New Roman" w:cs="Calibri"/>
                <w:b/>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E01698">
            <w:pPr>
              <w:rPr>
                <w:rFonts w:eastAsia="Times New Roman" w:cs="Calibri"/>
                <w:b/>
                <w:sz w:val="18"/>
                <w:szCs w:val="18"/>
                <w:lang w:eastAsia="cs-CZ"/>
              </w:rPr>
            </w:pPr>
            <w:r w:rsidRPr="00CC2806">
              <w:rPr>
                <w:rFonts w:eastAsia="Times New Roman" w:cs="Calibri"/>
                <w:b/>
                <w:sz w:val="18"/>
                <w:szCs w:val="18"/>
                <w:lang w:eastAsia="cs-CZ"/>
              </w:rPr>
              <w:t>53,0</w:t>
            </w:r>
            <w:r w:rsidR="003162BC">
              <w:rPr>
                <w:rFonts w:eastAsia="Times New Roman" w:cs="Calibri"/>
                <w:b/>
                <w:sz w:val="18"/>
                <w:szCs w:val="18"/>
                <w:lang w:eastAsia="cs-CZ"/>
              </w:rPr>
              <w:t xml:space="preserve"> </w:t>
            </w:r>
            <w:r w:rsidRPr="00CC2806">
              <w:rPr>
                <w:rFonts w:eastAsia="Times New Roman" w:cs="Calibri"/>
                <w:b/>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E01698">
            <w:pPr>
              <w:rPr>
                <w:rFonts w:eastAsia="Times New Roman" w:cs="Calibri"/>
                <w:b/>
                <w:sz w:val="18"/>
                <w:szCs w:val="18"/>
                <w:lang w:eastAsia="cs-CZ"/>
              </w:rPr>
            </w:pPr>
            <w:r w:rsidRPr="00CC2806">
              <w:rPr>
                <w:rFonts w:eastAsia="Times New Roman" w:cs="Calibri"/>
                <w:b/>
                <w:sz w:val="18"/>
                <w:szCs w:val="18"/>
                <w:lang w:eastAsia="cs-CZ"/>
              </w:rPr>
              <w:t>43,2</w:t>
            </w:r>
            <w:r w:rsidR="003162BC">
              <w:rPr>
                <w:rFonts w:eastAsia="Times New Roman" w:cs="Calibri"/>
                <w:b/>
                <w:sz w:val="18"/>
                <w:szCs w:val="18"/>
                <w:lang w:eastAsia="cs-CZ"/>
              </w:rPr>
              <w:t xml:space="preserve"> </w:t>
            </w:r>
            <w:r w:rsidRPr="00CC2806">
              <w:rPr>
                <w:rFonts w:eastAsia="Times New Roman" w:cs="Calibri"/>
                <w:b/>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E01698">
            <w:pPr>
              <w:rPr>
                <w:rFonts w:eastAsia="Times New Roman"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1,231 - 2,899 (Šedá zóna)</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16,0</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28,2</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31,8</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E01698">
            <w:pPr>
              <w:rPr>
                <w:rFonts w:eastAsia="Times New Roman"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2,900+ (Bonitní podniky)</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12,8</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18,7</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25,0</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r>
      <w:tr w:rsidR="00CC2806" w:rsidRPr="00CC2806" w:rsidTr="00CC2806">
        <w:trPr>
          <w:trHeight w:val="170"/>
        </w:trPr>
        <w:tc>
          <w:tcPr>
            <w:tcW w:w="5781" w:type="dxa"/>
            <w:gridSpan w:val="2"/>
            <w:tcBorders>
              <w:top w:val="single" w:sz="4" w:space="0" w:color="AEAEAE"/>
              <w:left w:val="single" w:sz="4" w:space="0" w:color="auto"/>
              <w:bottom w:val="single" w:sz="4" w:space="0" w:color="152935"/>
              <w:right w:val="nil"/>
            </w:tcBorders>
            <w:shd w:val="clear" w:color="auto" w:fill="auto"/>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Total</w:t>
            </w:r>
          </w:p>
        </w:tc>
        <w:tc>
          <w:tcPr>
            <w:tcW w:w="1097" w:type="dxa"/>
            <w:tcBorders>
              <w:top w:val="nil"/>
              <w:left w:val="nil"/>
              <w:bottom w:val="single" w:sz="4" w:space="0" w:color="152935"/>
              <w:right w:val="nil"/>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100,0</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single" w:sz="4" w:space="0" w:color="E0E0E0"/>
              <w:bottom w:val="single" w:sz="4" w:space="0" w:color="152935"/>
              <w:right w:val="single" w:sz="4" w:space="0" w:color="E0E0E0"/>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100,0</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nil"/>
              <w:bottom w:val="single" w:sz="4" w:space="0" w:color="152935"/>
              <w:right w:val="single" w:sz="4" w:space="0" w:color="auto"/>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100,0</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r>
      <w:tr w:rsidR="00CC2806" w:rsidRPr="00CC2806" w:rsidTr="00CC2806">
        <w:trPr>
          <w:trHeight w:val="170"/>
        </w:trPr>
        <w:tc>
          <w:tcPr>
            <w:tcW w:w="2490" w:type="dxa"/>
            <w:vMerge w:val="restart"/>
            <w:tcBorders>
              <w:top w:val="nil"/>
              <w:left w:val="single" w:sz="4" w:space="0" w:color="auto"/>
              <w:bottom w:val="single" w:sz="4" w:space="0" w:color="AEAEAE"/>
              <w:right w:val="nil"/>
            </w:tcBorders>
            <w:shd w:val="clear" w:color="auto" w:fill="auto"/>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Kategorie Indexu IN05</w:t>
            </w: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E01698">
            <w:pPr>
              <w:rPr>
                <w:rFonts w:eastAsia="Times New Roman" w:cs="Calibri"/>
                <w:b/>
                <w:sz w:val="18"/>
                <w:szCs w:val="18"/>
                <w:lang w:eastAsia="cs-CZ"/>
              </w:rPr>
            </w:pPr>
            <w:proofErr w:type="gramStart"/>
            <w:r w:rsidRPr="00CC2806">
              <w:rPr>
                <w:rFonts w:eastAsia="Times New Roman" w:cs="Calibri"/>
                <w:b/>
                <w:sz w:val="18"/>
                <w:szCs w:val="18"/>
                <w:lang w:eastAsia="cs-CZ"/>
              </w:rPr>
              <w:t>&lt;= ,900</w:t>
            </w:r>
            <w:proofErr w:type="gramEnd"/>
            <w:r w:rsidRPr="00CC2806">
              <w:rPr>
                <w:rFonts w:eastAsia="Times New Roman" w:cs="Calibri"/>
                <w:b/>
                <w:sz w:val="18"/>
                <w:szCs w:val="18"/>
                <w:lang w:eastAsia="cs-CZ"/>
              </w:rPr>
              <w:t xml:space="preserve"> (Bankrotní podniky)</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E01698">
            <w:pPr>
              <w:rPr>
                <w:rFonts w:eastAsia="Times New Roman" w:cs="Calibri"/>
                <w:b/>
                <w:sz w:val="18"/>
                <w:szCs w:val="18"/>
                <w:lang w:eastAsia="cs-CZ"/>
              </w:rPr>
            </w:pPr>
            <w:r w:rsidRPr="00CC2806">
              <w:rPr>
                <w:rFonts w:eastAsia="Times New Roman" w:cs="Calibri"/>
                <w:b/>
                <w:sz w:val="18"/>
                <w:szCs w:val="18"/>
                <w:lang w:eastAsia="cs-CZ"/>
              </w:rPr>
              <w:t>83,0</w:t>
            </w:r>
            <w:r w:rsidR="003162BC">
              <w:rPr>
                <w:rFonts w:eastAsia="Times New Roman" w:cs="Calibri"/>
                <w:b/>
                <w:sz w:val="18"/>
                <w:szCs w:val="18"/>
                <w:lang w:eastAsia="cs-CZ"/>
              </w:rPr>
              <w:t xml:space="preserve"> </w:t>
            </w:r>
            <w:r w:rsidRPr="00CC2806">
              <w:rPr>
                <w:rFonts w:eastAsia="Times New Roman" w:cs="Calibri"/>
                <w:b/>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E01698">
            <w:pPr>
              <w:rPr>
                <w:rFonts w:eastAsia="Times New Roman" w:cs="Calibri"/>
                <w:b/>
                <w:sz w:val="18"/>
                <w:szCs w:val="18"/>
                <w:lang w:eastAsia="cs-CZ"/>
              </w:rPr>
            </w:pPr>
            <w:r w:rsidRPr="00CC2806">
              <w:rPr>
                <w:rFonts w:eastAsia="Times New Roman" w:cs="Calibri"/>
                <w:b/>
                <w:sz w:val="18"/>
                <w:szCs w:val="18"/>
                <w:lang w:eastAsia="cs-CZ"/>
              </w:rPr>
              <w:t>71,1</w:t>
            </w:r>
            <w:r w:rsidR="003162BC">
              <w:rPr>
                <w:rFonts w:eastAsia="Times New Roman" w:cs="Calibri"/>
                <w:b/>
                <w:sz w:val="18"/>
                <w:szCs w:val="18"/>
                <w:lang w:eastAsia="cs-CZ"/>
              </w:rPr>
              <w:t xml:space="preserve"> </w:t>
            </w:r>
            <w:r w:rsidRPr="00CC2806">
              <w:rPr>
                <w:rFonts w:eastAsia="Times New Roman" w:cs="Calibri"/>
                <w:b/>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E01698">
            <w:pPr>
              <w:rPr>
                <w:rFonts w:eastAsia="Times New Roman" w:cs="Calibri"/>
                <w:b/>
                <w:sz w:val="18"/>
                <w:szCs w:val="18"/>
                <w:lang w:eastAsia="cs-CZ"/>
              </w:rPr>
            </w:pPr>
            <w:r w:rsidRPr="00CC2806">
              <w:rPr>
                <w:rFonts w:eastAsia="Times New Roman" w:cs="Calibri"/>
                <w:b/>
                <w:sz w:val="18"/>
                <w:szCs w:val="18"/>
                <w:lang w:eastAsia="cs-CZ"/>
              </w:rPr>
              <w:t>65,5</w:t>
            </w:r>
            <w:r w:rsidR="003162BC">
              <w:rPr>
                <w:rFonts w:eastAsia="Times New Roman" w:cs="Calibri"/>
                <w:b/>
                <w:sz w:val="18"/>
                <w:szCs w:val="18"/>
                <w:lang w:eastAsia="cs-CZ"/>
              </w:rPr>
              <w:t xml:space="preserve"> </w:t>
            </w:r>
            <w:r w:rsidRPr="00CC2806">
              <w:rPr>
                <w:rFonts w:eastAsia="Times New Roman" w:cs="Calibri"/>
                <w:b/>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E01698">
            <w:pPr>
              <w:rPr>
                <w:rFonts w:eastAsia="Times New Roman"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,901 - 1,599 (Šedá zóna)</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6,9</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16,5</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18,7</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E01698">
            <w:pPr>
              <w:rPr>
                <w:rFonts w:eastAsia="Times New Roman"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1,600+ (Bonitní podniky)</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10,2</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12,4</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15,8</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r>
      <w:tr w:rsidR="00CC2806" w:rsidRPr="00CC2806" w:rsidTr="00CC2806">
        <w:trPr>
          <w:trHeight w:val="170"/>
        </w:trPr>
        <w:tc>
          <w:tcPr>
            <w:tcW w:w="5781" w:type="dxa"/>
            <w:gridSpan w:val="2"/>
            <w:tcBorders>
              <w:top w:val="single" w:sz="4" w:space="0" w:color="AEAEAE"/>
              <w:left w:val="single" w:sz="4" w:space="0" w:color="auto"/>
              <w:bottom w:val="single" w:sz="4" w:space="0" w:color="152935"/>
              <w:right w:val="nil"/>
            </w:tcBorders>
            <w:shd w:val="clear" w:color="auto" w:fill="auto"/>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Total</w:t>
            </w:r>
          </w:p>
        </w:tc>
        <w:tc>
          <w:tcPr>
            <w:tcW w:w="1097" w:type="dxa"/>
            <w:tcBorders>
              <w:top w:val="nil"/>
              <w:left w:val="nil"/>
              <w:bottom w:val="single" w:sz="4" w:space="0" w:color="152935"/>
              <w:right w:val="nil"/>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100,0</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single" w:sz="4" w:space="0" w:color="E0E0E0"/>
              <w:bottom w:val="single" w:sz="4" w:space="0" w:color="152935"/>
              <w:right w:val="single" w:sz="4" w:space="0" w:color="E0E0E0"/>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100,0</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nil"/>
              <w:bottom w:val="single" w:sz="4" w:space="0" w:color="152935"/>
              <w:right w:val="single" w:sz="4" w:space="0" w:color="auto"/>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100,0</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r>
      <w:tr w:rsidR="00CC2806" w:rsidRPr="00CC2806" w:rsidTr="00CC2806">
        <w:trPr>
          <w:trHeight w:val="170"/>
        </w:trPr>
        <w:tc>
          <w:tcPr>
            <w:tcW w:w="2490" w:type="dxa"/>
            <w:vMerge w:val="restart"/>
            <w:tcBorders>
              <w:top w:val="nil"/>
              <w:left w:val="single" w:sz="4" w:space="0" w:color="auto"/>
              <w:bottom w:val="single" w:sz="4" w:space="0" w:color="AEAEAE"/>
              <w:right w:val="nil"/>
            </w:tcBorders>
            <w:shd w:val="clear" w:color="auto" w:fill="auto"/>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Kategorie Indexu IN99</w:t>
            </w: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E01698">
            <w:pPr>
              <w:rPr>
                <w:rFonts w:eastAsia="Times New Roman" w:cs="Calibri"/>
                <w:b/>
                <w:sz w:val="18"/>
                <w:szCs w:val="18"/>
                <w:lang w:eastAsia="cs-CZ"/>
              </w:rPr>
            </w:pPr>
            <w:proofErr w:type="gramStart"/>
            <w:r w:rsidRPr="00CC2806">
              <w:rPr>
                <w:rFonts w:eastAsia="Times New Roman" w:cs="Calibri"/>
                <w:b/>
                <w:sz w:val="18"/>
                <w:szCs w:val="18"/>
                <w:lang w:eastAsia="cs-CZ"/>
              </w:rPr>
              <w:t>&lt;= ,684</w:t>
            </w:r>
            <w:proofErr w:type="gramEnd"/>
            <w:r w:rsidRPr="00CC2806">
              <w:rPr>
                <w:rFonts w:eastAsia="Times New Roman" w:cs="Calibri"/>
                <w:b/>
                <w:sz w:val="18"/>
                <w:szCs w:val="18"/>
                <w:lang w:eastAsia="cs-CZ"/>
              </w:rPr>
              <w:t xml:space="preserve"> (Podniky netvořící hodnotu)</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E01698">
            <w:pPr>
              <w:rPr>
                <w:rFonts w:eastAsia="Times New Roman" w:cs="Calibri"/>
                <w:b/>
                <w:sz w:val="18"/>
                <w:szCs w:val="18"/>
                <w:lang w:eastAsia="cs-CZ"/>
              </w:rPr>
            </w:pPr>
            <w:r w:rsidRPr="00CC2806">
              <w:rPr>
                <w:rFonts w:eastAsia="Times New Roman" w:cs="Calibri"/>
                <w:b/>
                <w:sz w:val="18"/>
                <w:szCs w:val="18"/>
                <w:lang w:eastAsia="cs-CZ"/>
              </w:rPr>
              <w:t>75,9</w:t>
            </w:r>
            <w:r w:rsidR="003162BC">
              <w:rPr>
                <w:rFonts w:eastAsia="Times New Roman" w:cs="Calibri"/>
                <w:b/>
                <w:sz w:val="18"/>
                <w:szCs w:val="18"/>
                <w:lang w:eastAsia="cs-CZ"/>
              </w:rPr>
              <w:t xml:space="preserve"> </w:t>
            </w:r>
            <w:r w:rsidRPr="00CC2806">
              <w:rPr>
                <w:rFonts w:eastAsia="Times New Roman" w:cs="Calibri"/>
                <w:b/>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E01698">
            <w:pPr>
              <w:rPr>
                <w:rFonts w:eastAsia="Times New Roman" w:cs="Calibri"/>
                <w:b/>
                <w:sz w:val="18"/>
                <w:szCs w:val="18"/>
                <w:lang w:eastAsia="cs-CZ"/>
              </w:rPr>
            </w:pPr>
            <w:r w:rsidRPr="00CC2806">
              <w:rPr>
                <w:rFonts w:eastAsia="Times New Roman" w:cs="Calibri"/>
                <w:b/>
                <w:sz w:val="18"/>
                <w:szCs w:val="18"/>
                <w:lang w:eastAsia="cs-CZ"/>
              </w:rPr>
              <w:t>62,7</w:t>
            </w:r>
            <w:r w:rsidR="003162BC">
              <w:rPr>
                <w:rFonts w:eastAsia="Times New Roman" w:cs="Calibri"/>
                <w:b/>
                <w:sz w:val="18"/>
                <w:szCs w:val="18"/>
                <w:lang w:eastAsia="cs-CZ"/>
              </w:rPr>
              <w:t xml:space="preserve"> </w:t>
            </w:r>
            <w:r w:rsidRPr="00CC2806">
              <w:rPr>
                <w:rFonts w:eastAsia="Times New Roman" w:cs="Calibri"/>
                <w:b/>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E01698">
            <w:pPr>
              <w:rPr>
                <w:rFonts w:eastAsia="Times New Roman" w:cs="Calibri"/>
                <w:b/>
                <w:sz w:val="18"/>
                <w:szCs w:val="18"/>
                <w:lang w:eastAsia="cs-CZ"/>
              </w:rPr>
            </w:pPr>
            <w:r w:rsidRPr="00CC2806">
              <w:rPr>
                <w:rFonts w:eastAsia="Times New Roman" w:cs="Calibri"/>
                <w:b/>
                <w:sz w:val="18"/>
                <w:szCs w:val="18"/>
                <w:lang w:eastAsia="cs-CZ"/>
              </w:rPr>
              <w:t>52,6</w:t>
            </w:r>
            <w:r w:rsidR="003162BC">
              <w:rPr>
                <w:rFonts w:eastAsia="Times New Roman" w:cs="Calibri"/>
                <w:b/>
                <w:sz w:val="18"/>
                <w:szCs w:val="18"/>
                <w:lang w:eastAsia="cs-CZ"/>
              </w:rPr>
              <w:t xml:space="preserve"> </w:t>
            </w:r>
            <w:r w:rsidRPr="00CC2806">
              <w:rPr>
                <w:rFonts w:eastAsia="Times New Roman" w:cs="Calibri"/>
                <w:b/>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E01698">
            <w:pPr>
              <w:rPr>
                <w:rFonts w:eastAsia="Times New Roman"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,685 - 1,220 (Podniky spíše netvořící hodnotu)</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7,7</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15,7</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18,2</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E01698">
            <w:pPr>
              <w:rPr>
                <w:rFonts w:eastAsia="Times New Roman"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1,221 - 1,590 (Šedá zóna)</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2,9</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5,1</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9,6</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E01698">
            <w:pPr>
              <w:rPr>
                <w:rFonts w:eastAsia="Times New Roman"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1,591 - 2,070 (Podniky spíše tvořící hodnotu)</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1,9</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5,0</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6,2</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E01698">
            <w:pPr>
              <w:rPr>
                <w:rFonts w:eastAsia="Times New Roman"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2,071+ (Podniky tvořící hodnotu)</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11,5</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11,5</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13,4</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r>
      <w:tr w:rsidR="00CC2806" w:rsidRPr="00CC2806" w:rsidTr="00CC2806">
        <w:trPr>
          <w:trHeight w:val="170"/>
        </w:trPr>
        <w:tc>
          <w:tcPr>
            <w:tcW w:w="5781" w:type="dxa"/>
            <w:gridSpan w:val="2"/>
            <w:tcBorders>
              <w:top w:val="single" w:sz="4" w:space="0" w:color="AEAEAE"/>
              <w:left w:val="single" w:sz="4" w:space="0" w:color="auto"/>
              <w:bottom w:val="single" w:sz="4" w:space="0" w:color="auto"/>
              <w:right w:val="nil"/>
            </w:tcBorders>
            <w:shd w:val="clear" w:color="auto" w:fill="auto"/>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Total</w:t>
            </w:r>
          </w:p>
        </w:tc>
        <w:tc>
          <w:tcPr>
            <w:tcW w:w="1097" w:type="dxa"/>
            <w:tcBorders>
              <w:top w:val="nil"/>
              <w:left w:val="nil"/>
              <w:bottom w:val="single" w:sz="4" w:space="0" w:color="auto"/>
              <w:right w:val="nil"/>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100,0</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c>
          <w:tcPr>
            <w:tcW w:w="1097" w:type="dxa"/>
            <w:tcBorders>
              <w:top w:val="nil"/>
              <w:left w:val="single" w:sz="4" w:space="0" w:color="E0E0E0"/>
              <w:bottom w:val="single" w:sz="4" w:space="0" w:color="auto"/>
              <w:right w:val="single" w:sz="4" w:space="0" w:color="E0E0E0"/>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CC2806" w:rsidRPr="00CC2806" w:rsidRDefault="00CC2806" w:rsidP="00E01698">
            <w:pPr>
              <w:rPr>
                <w:rFonts w:eastAsia="Times New Roman" w:cs="Calibri"/>
                <w:sz w:val="18"/>
                <w:szCs w:val="18"/>
                <w:lang w:eastAsia="cs-CZ"/>
              </w:rPr>
            </w:pPr>
            <w:r w:rsidRPr="00CC2806">
              <w:rPr>
                <w:rFonts w:eastAsia="Times New Roman" w:cs="Calibri"/>
                <w:sz w:val="18"/>
                <w:szCs w:val="18"/>
                <w:lang w:eastAsia="cs-CZ"/>
              </w:rPr>
              <w:t>100,0</w:t>
            </w:r>
            <w:r w:rsidR="003162BC">
              <w:rPr>
                <w:rFonts w:eastAsia="Times New Roman" w:cs="Calibri"/>
                <w:sz w:val="18"/>
                <w:szCs w:val="18"/>
                <w:lang w:eastAsia="cs-CZ"/>
              </w:rPr>
              <w:t xml:space="preserve"> </w:t>
            </w:r>
            <w:r w:rsidRPr="00CC2806">
              <w:rPr>
                <w:rFonts w:eastAsia="Times New Roman" w:cs="Calibri"/>
                <w:sz w:val="18"/>
                <w:szCs w:val="18"/>
                <w:lang w:eastAsia="cs-CZ"/>
              </w:rPr>
              <w:t>%</w:t>
            </w:r>
          </w:p>
        </w:tc>
      </w:tr>
    </w:tbl>
    <w:p w:rsidR="007429C4" w:rsidRDefault="007429C4" w:rsidP="00E01698">
      <w:pPr>
        <w:rPr>
          <w:szCs w:val="24"/>
        </w:rPr>
      </w:pPr>
    </w:p>
    <w:p w:rsidR="007429C4" w:rsidRDefault="007429C4" w:rsidP="004A6A9E">
      <w:pPr>
        <w:rPr>
          <w:szCs w:val="24"/>
        </w:rPr>
      </w:pPr>
      <w:r>
        <w:rPr>
          <w:szCs w:val="24"/>
        </w:rPr>
        <w:t>Převážná část úpadkových podniků se z hlediska syntetických ukazatele zařazujíc</w:t>
      </w:r>
      <w:r w:rsidR="004A6A9E">
        <w:rPr>
          <w:szCs w:val="24"/>
        </w:rPr>
        <w:t>íc</w:t>
      </w:r>
      <w:r w:rsidR="00C953C8">
        <w:rPr>
          <w:szCs w:val="24"/>
        </w:rPr>
        <w:t>h</w:t>
      </w:r>
      <w:r>
        <w:rPr>
          <w:szCs w:val="24"/>
        </w:rPr>
        <w:t xml:space="preserve"> podniky mezi bankrotní a bonitní </w:t>
      </w:r>
      <w:r w:rsidR="004A6A9E">
        <w:rPr>
          <w:szCs w:val="24"/>
        </w:rPr>
        <w:t>pohybuje již tři roky před zjištění úpadku v bankrotní zóně a s blížícím se úpadkem se jejich četnost zvyšuje. Relativní četnost kategorií indexu IN99, který je spíše indexem vlastnickým, ukazuje, že současně již tři roky před úpadkem úpadkové podniky netvořily hodnotu. Zajímavé však u tohoto ukazatele je to, že více než 10 % úpadkových podniků tvořilo ve všech třech letech před zjištěním úpadku hodnotu (a to i jeden rok před zjištěním úpadku).</w:t>
      </w:r>
      <w:r w:rsidR="00950E92">
        <w:rPr>
          <w:szCs w:val="24"/>
        </w:rPr>
        <w:t xml:space="preserve"> Současně, jeden rok před úpadkem je celkem nízká relativní četnost výskytu šedé zóny.</w:t>
      </w:r>
    </w:p>
    <w:p w:rsidR="005A5A62" w:rsidRDefault="005A5A62" w:rsidP="004A6A9E">
      <w:pPr>
        <w:rPr>
          <w:szCs w:val="24"/>
        </w:rPr>
      </w:pPr>
    </w:p>
    <w:p w:rsidR="005A5A62" w:rsidRDefault="005A5A62" w:rsidP="004A6A9E">
      <w:pPr>
        <w:rPr>
          <w:szCs w:val="24"/>
        </w:rPr>
      </w:pPr>
    </w:p>
    <w:p w:rsidR="003D6909" w:rsidRDefault="003D6909" w:rsidP="004C37F5">
      <w:pPr>
        <w:pStyle w:val="Nadpis2"/>
      </w:pPr>
    </w:p>
    <w:p w:rsidR="00C84830" w:rsidRDefault="00FF0D08" w:rsidP="00FF0D08">
      <w:pPr>
        <w:pStyle w:val="Nadpis3"/>
        <w:ind w:left="720"/>
      </w:pPr>
      <w:bookmarkStart w:id="123" w:name="_Toc31054471"/>
      <w:r>
        <w:t>2.</w:t>
      </w:r>
      <w:r w:rsidR="005A5A62">
        <w:t>3.</w:t>
      </w:r>
      <w:r w:rsidR="0059405B">
        <w:t>9</w:t>
      </w:r>
      <w:r w:rsidR="005A5A62">
        <w:t>.</w:t>
      </w:r>
      <w:r>
        <w:tab/>
      </w:r>
      <w:r w:rsidR="00074DC4">
        <w:t xml:space="preserve">Diskuse a </w:t>
      </w:r>
      <w:r w:rsidR="00074DC4" w:rsidRPr="00E01698">
        <w:t>z</w:t>
      </w:r>
      <w:r w:rsidR="00C84830" w:rsidRPr="00E01698">
        <w:t>ávěr</w:t>
      </w:r>
      <w:bookmarkEnd w:id="123"/>
    </w:p>
    <w:p w:rsidR="00291533" w:rsidRPr="000C1EA6" w:rsidRDefault="00CE6AF5" w:rsidP="000C1EA6">
      <w:pPr>
        <w:rPr>
          <w:szCs w:val="24"/>
        </w:rPr>
      </w:pPr>
      <w:r w:rsidRPr="00CE6AF5">
        <w:rPr>
          <w:szCs w:val="24"/>
        </w:rPr>
        <w:t>Ukazuje se</w:t>
      </w:r>
      <w:r>
        <w:rPr>
          <w:szCs w:val="24"/>
        </w:rPr>
        <w:t>, že u většiny úpadkových podniků byly příznaky finančních potíží indikovány již tři roky před jeho zjištěním a situace se s</w:t>
      </w:r>
      <w:r w:rsidR="000C1EA6">
        <w:rPr>
          <w:szCs w:val="24"/>
        </w:rPr>
        <w:t> blížícím se</w:t>
      </w:r>
      <w:r>
        <w:rPr>
          <w:szCs w:val="24"/>
        </w:rPr>
        <w:t xml:space="preserve"> úpadkem zhoršovala. To je patrné jak z redukovaného průměru a mediánu poměrových ukazatelů, tak z četnosti polarity vybraných finančních charakteristik. Zejména polarity, jejichž vypovídací schopnost má jednoznačný charakter</w:t>
      </w:r>
      <w:r w:rsidR="000C1EA6">
        <w:rPr>
          <w:szCs w:val="24"/>
        </w:rPr>
        <w:t>,</w:t>
      </w:r>
      <w:r>
        <w:rPr>
          <w:szCs w:val="24"/>
        </w:rPr>
        <w:t xml:space="preserve"> ukazují, že </w:t>
      </w:r>
      <w:r w:rsidR="003D6909">
        <w:rPr>
          <w:szCs w:val="24"/>
        </w:rPr>
        <w:t>většina podniků se u vybraných ukazatelů nacházela v záporných hodnotách a jejich relativní četnost se s blížícím se úpadkem zvyšovala.</w:t>
      </w:r>
    </w:p>
    <w:p w:rsidR="00291533" w:rsidRDefault="00291533" w:rsidP="00291533">
      <w:pPr>
        <w:rPr>
          <w:szCs w:val="24"/>
        </w:rPr>
      </w:pPr>
      <w:r>
        <w:rPr>
          <w:szCs w:val="24"/>
        </w:rPr>
        <w:t xml:space="preserve">Počátek diskuse po úvodní prezentaci se soustředil na samotný datový soubor. Bylo konstatováno, že datový soubor je složen z podniků, u kterých jsou dostupné příslušné údaje, tedy z podniků, které plnily svou zákonnou povinnost zveřejňovat údaje o svém hospodaření. </w:t>
      </w:r>
      <w:r w:rsidR="00AE5E0B">
        <w:rPr>
          <w:szCs w:val="24"/>
        </w:rPr>
        <w:t>Z řad účastníků byl vznesen dotaz,</w:t>
      </w:r>
      <w:r>
        <w:rPr>
          <w:szCs w:val="24"/>
        </w:rPr>
        <w:t xml:space="preserve"> zda je možné z datového souboru získat údaj, z</w:t>
      </w:r>
      <w:r w:rsidR="00AE5E0B">
        <w:rPr>
          <w:szCs w:val="24"/>
        </w:rPr>
        <w:t>d</w:t>
      </w:r>
      <w:r>
        <w:rPr>
          <w:szCs w:val="24"/>
        </w:rPr>
        <w:t xml:space="preserve">a podniky měly či neměly </w:t>
      </w:r>
      <w:r w:rsidRPr="00AE5E0B">
        <w:rPr>
          <w:b/>
          <w:szCs w:val="24"/>
        </w:rPr>
        <w:t>bankovní úvěry</w:t>
      </w:r>
      <w:r>
        <w:rPr>
          <w:szCs w:val="24"/>
        </w:rPr>
        <w:t>, což možné je. Bylo navrženo, provést analýzu rovněž z toho pohledu, zda podn</w:t>
      </w:r>
      <w:r w:rsidR="00AE5E0B">
        <w:rPr>
          <w:szCs w:val="24"/>
        </w:rPr>
        <w:t xml:space="preserve">iky, které měly bankovní úvěry </w:t>
      </w:r>
      <w:r>
        <w:rPr>
          <w:szCs w:val="24"/>
        </w:rPr>
        <w:t xml:space="preserve">a tudíž musely plnit mimo jiné i povinnost poskytovat bance informace, byly díky kontrole banky v lepší kondici. </w:t>
      </w:r>
    </w:p>
    <w:p w:rsidR="00291533" w:rsidRDefault="00007103" w:rsidP="00291533">
      <w:pPr>
        <w:rPr>
          <w:szCs w:val="24"/>
        </w:rPr>
      </w:pPr>
      <w:r>
        <w:rPr>
          <w:szCs w:val="24"/>
        </w:rPr>
        <w:t>Následně</w:t>
      </w:r>
      <w:r w:rsidR="00291533">
        <w:rPr>
          <w:szCs w:val="24"/>
        </w:rPr>
        <w:t xml:space="preserve"> </w:t>
      </w:r>
      <w:r>
        <w:rPr>
          <w:szCs w:val="24"/>
        </w:rPr>
        <w:t>se diskutovalo</w:t>
      </w:r>
      <w:r w:rsidR="00291533">
        <w:rPr>
          <w:szCs w:val="24"/>
        </w:rPr>
        <w:t xml:space="preserve"> </w:t>
      </w:r>
      <w:r w:rsidR="00291533" w:rsidRPr="00AE5E0B">
        <w:rPr>
          <w:b/>
          <w:szCs w:val="24"/>
        </w:rPr>
        <w:t>zpoždění údajů ve výročních výkazech</w:t>
      </w:r>
      <w:r w:rsidR="00291533">
        <w:rPr>
          <w:szCs w:val="24"/>
        </w:rPr>
        <w:t xml:space="preserve"> pro účely systému včasného varování. Bylo konstatováno, že systém včasného varování by měl sloužit zejména podnikům pro identifikaci jejich stavu a podniky disponují aktuálními údaji, které by bylo možné do systému zadat.</w:t>
      </w:r>
    </w:p>
    <w:p w:rsidR="00291533" w:rsidRDefault="00007103" w:rsidP="00291533">
      <w:pPr>
        <w:rPr>
          <w:szCs w:val="24"/>
        </w:rPr>
      </w:pPr>
      <w:r>
        <w:rPr>
          <w:szCs w:val="24"/>
        </w:rPr>
        <w:t xml:space="preserve">Přítomní účastníci se také zamýšleli nad možností </w:t>
      </w:r>
      <w:r w:rsidR="00291533">
        <w:rPr>
          <w:szCs w:val="24"/>
        </w:rPr>
        <w:t xml:space="preserve">určit, které podniky (resp. jejich vlastníci) se snažily řešit svou neutěšenou situaci </w:t>
      </w:r>
      <w:r w:rsidR="00291533" w:rsidRPr="00AE5E0B">
        <w:rPr>
          <w:b/>
          <w:szCs w:val="24"/>
        </w:rPr>
        <w:t>dodatečnými (peněžními) vklady</w:t>
      </w:r>
      <w:r w:rsidR="00291533">
        <w:rPr>
          <w:szCs w:val="24"/>
        </w:rPr>
        <w:t xml:space="preserve">. </w:t>
      </w:r>
      <w:r w:rsidR="00EF1564">
        <w:rPr>
          <w:szCs w:val="24"/>
        </w:rPr>
        <w:t xml:space="preserve">To za účelem zjištění, zda vlastníci měli ochotu podnik sanovat. </w:t>
      </w:r>
    </w:p>
    <w:p w:rsidR="00EF1564" w:rsidRDefault="00EF1564" w:rsidP="00291533">
      <w:pPr>
        <w:rPr>
          <w:szCs w:val="24"/>
        </w:rPr>
      </w:pPr>
      <w:r>
        <w:rPr>
          <w:szCs w:val="24"/>
        </w:rPr>
        <w:t xml:space="preserve">Dále byla vznesena otázka, zda je možné z datového souboru zjistit </w:t>
      </w:r>
      <w:r w:rsidRPr="00465925">
        <w:rPr>
          <w:b/>
          <w:szCs w:val="24"/>
        </w:rPr>
        <w:t>rozdíl mezi</w:t>
      </w:r>
      <w:r>
        <w:rPr>
          <w:szCs w:val="24"/>
        </w:rPr>
        <w:t xml:space="preserve"> </w:t>
      </w:r>
      <w:r w:rsidRPr="00465925">
        <w:rPr>
          <w:b/>
          <w:szCs w:val="24"/>
        </w:rPr>
        <w:t>auditovanými a neauditovanými společnostmi</w:t>
      </w:r>
      <w:r>
        <w:rPr>
          <w:szCs w:val="24"/>
        </w:rPr>
        <w:t>, tedy zjistit, zda auditor odhalil problémy podniku, zda auditoři upozorňovali s předstihem na existenční problémy podniku.</w:t>
      </w:r>
    </w:p>
    <w:p w:rsidR="00EF1564" w:rsidRDefault="00181D74" w:rsidP="00291533">
      <w:pPr>
        <w:rPr>
          <w:szCs w:val="24"/>
        </w:rPr>
      </w:pPr>
      <w:r>
        <w:rPr>
          <w:szCs w:val="24"/>
        </w:rPr>
        <w:t>Z</w:t>
      </w:r>
      <w:r w:rsidR="00EF1564">
        <w:rPr>
          <w:szCs w:val="24"/>
        </w:rPr>
        <w:t xml:space="preserve"> diskuse </w:t>
      </w:r>
      <w:r>
        <w:rPr>
          <w:szCs w:val="24"/>
        </w:rPr>
        <w:t xml:space="preserve">také </w:t>
      </w:r>
      <w:r w:rsidR="00EF1564">
        <w:rPr>
          <w:szCs w:val="24"/>
        </w:rPr>
        <w:t xml:space="preserve">vyplynuly </w:t>
      </w:r>
      <w:r w:rsidR="00EF1564" w:rsidRPr="00DD0FB1">
        <w:rPr>
          <w:b/>
          <w:szCs w:val="24"/>
        </w:rPr>
        <w:t>následující skutečnosti</w:t>
      </w:r>
      <w:r w:rsidR="00EF1564">
        <w:rPr>
          <w:szCs w:val="24"/>
        </w:rPr>
        <w:t>:</w:t>
      </w:r>
    </w:p>
    <w:p w:rsidR="00EF1564" w:rsidRDefault="00EF1564" w:rsidP="005A5A62">
      <w:pPr>
        <w:pStyle w:val="Odstavecseseznamem"/>
        <w:numPr>
          <w:ilvl w:val="0"/>
          <w:numId w:val="2"/>
        </w:numPr>
        <w:rPr>
          <w:szCs w:val="24"/>
        </w:rPr>
      </w:pPr>
      <w:r>
        <w:rPr>
          <w:szCs w:val="24"/>
        </w:rPr>
        <w:t>Úpadek řeší většinou „poučený“ věřitel, nikoliv vlastník či management (což je v řadě případů rovněž vlastník)</w:t>
      </w:r>
    </w:p>
    <w:p w:rsidR="00EF1564" w:rsidRDefault="00EF1564" w:rsidP="005A5A62">
      <w:pPr>
        <w:pStyle w:val="Odstavecseseznamem"/>
        <w:numPr>
          <w:ilvl w:val="0"/>
          <w:numId w:val="2"/>
        </w:numPr>
        <w:rPr>
          <w:szCs w:val="24"/>
        </w:rPr>
      </w:pPr>
      <w:r>
        <w:rPr>
          <w:szCs w:val="24"/>
        </w:rPr>
        <w:t>Přetrvávají „marná doufání“ dlužníka ve zlepšení situace</w:t>
      </w:r>
    </w:p>
    <w:p w:rsidR="00EF1564" w:rsidRDefault="00EF1564" w:rsidP="005A5A62">
      <w:pPr>
        <w:pStyle w:val="Odstavecseseznamem"/>
        <w:numPr>
          <w:ilvl w:val="0"/>
          <w:numId w:val="2"/>
        </w:numPr>
        <w:rPr>
          <w:szCs w:val="24"/>
        </w:rPr>
      </w:pPr>
      <w:r>
        <w:rPr>
          <w:szCs w:val="24"/>
        </w:rPr>
        <w:t>Možnost spuštění „úpadkové kalkulačky“, kde by si mohl management či vlastníci ověřit, zda jejich podnik nesměřuje k úpadku.</w:t>
      </w:r>
    </w:p>
    <w:p w:rsidR="00EF1564" w:rsidRDefault="00EF1564" w:rsidP="00EF1564">
      <w:pPr>
        <w:rPr>
          <w:szCs w:val="24"/>
        </w:rPr>
      </w:pPr>
      <w:r>
        <w:rPr>
          <w:szCs w:val="24"/>
        </w:rPr>
        <w:t>Jednotliví diskutující pak např. konstatovali, že vlastníci a manažeři (zejména u SME) si reálnou situaci neuvědomují či si ji nechtějí připustit, musí je donutit věřitelé, což činí především banky.</w:t>
      </w:r>
    </w:p>
    <w:p w:rsidR="00D8617E" w:rsidRDefault="00D8617E" w:rsidP="00EF1564">
      <w:pPr>
        <w:rPr>
          <w:b/>
          <w:szCs w:val="24"/>
          <w:u w:val="single"/>
        </w:rPr>
      </w:pPr>
    </w:p>
    <w:p w:rsidR="00FC42C9" w:rsidRPr="00DD0FB1" w:rsidRDefault="005A5A62" w:rsidP="005A5A62">
      <w:pPr>
        <w:pStyle w:val="Nadpis3"/>
        <w:ind w:left="720"/>
      </w:pPr>
      <w:bookmarkStart w:id="124" w:name="_Toc31054472"/>
      <w:proofErr w:type="gramStart"/>
      <w:r>
        <w:t>2.3.</w:t>
      </w:r>
      <w:r w:rsidR="0059405B">
        <w:t>10</w:t>
      </w:r>
      <w:proofErr w:type="gramEnd"/>
      <w:r>
        <w:t>.</w:t>
      </w:r>
      <w:r>
        <w:tab/>
      </w:r>
      <w:r w:rsidR="00FC42C9" w:rsidRPr="00DD0FB1">
        <w:t xml:space="preserve">Otázka </w:t>
      </w:r>
      <w:r w:rsidR="00FC42C9" w:rsidRPr="005A5A62">
        <w:t>motivací</w:t>
      </w:r>
      <w:bookmarkEnd w:id="124"/>
    </w:p>
    <w:p w:rsidR="00DD0FB1" w:rsidRDefault="0017228C" w:rsidP="00EF1564">
      <w:pPr>
        <w:rPr>
          <w:szCs w:val="24"/>
        </w:rPr>
      </w:pPr>
      <w:r>
        <w:rPr>
          <w:szCs w:val="24"/>
        </w:rPr>
        <w:t xml:space="preserve">Diskusi vyvolaly také různé pohledy na motivaci </w:t>
      </w:r>
      <w:r w:rsidR="00EF1564">
        <w:rPr>
          <w:szCs w:val="24"/>
        </w:rPr>
        <w:t xml:space="preserve">podniků k preventivní restrukturalizaci. </w:t>
      </w:r>
      <w:r>
        <w:rPr>
          <w:szCs w:val="24"/>
        </w:rPr>
        <w:t xml:space="preserve">Motivace může mít totiž </w:t>
      </w:r>
      <w:r w:rsidR="00EF1564" w:rsidRPr="00DD0FB1">
        <w:rPr>
          <w:b/>
          <w:szCs w:val="24"/>
        </w:rPr>
        <w:t>negativní</w:t>
      </w:r>
      <w:r w:rsidRPr="00DD0FB1">
        <w:rPr>
          <w:b/>
          <w:szCs w:val="24"/>
        </w:rPr>
        <w:t xml:space="preserve"> </w:t>
      </w:r>
      <w:r w:rsidR="00DD0FB1">
        <w:rPr>
          <w:b/>
          <w:szCs w:val="24"/>
        </w:rPr>
        <w:t>charakter</w:t>
      </w:r>
      <w:r w:rsidR="00DD0FB1">
        <w:rPr>
          <w:szCs w:val="24"/>
        </w:rPr>
        <w:t xml:space="preserve"> (daný</w:t>
      </w:r>
      <w:r w:rsidR="00EF1564">
        <w:rPr>
          <w:szCs w:val="24"/>
        </w:rPr>
        <w:t xml:space="preserve"> zejména vynucováním odpovědnosti za </w:t>
      </w:r>
      <w:r w:rsidR="00EF1564">
        <w:rPr>
          <w:szCs w:val="24"/>
        </w:rPr>
        <w:lastRenderedPageBreak/>
        <w:t xml:space="preserve">škodu – tedy hmotnou odpovědností </w:t>
      </w:r>
      <w:r w:rsidR="00DD0FB1">
        <w:rPr>
          <w:szCs w:val="24"/>
        </w:rPr>
        <w:t>vlastníků a manažerů) či</w:t>
      </w:r>
      <w:r w:rsidR="007F7DA2">
        <w:rPr>
          <w:szCs w:val="24"/>
        </w:rPr>
        <w:t xml:space="preserve"> </w:t>
      </w:r>
      <w:r w:rsidR="00DD0FB1" w:rsidRPr="00DD0FB1">
        <w:rPr>
          <w:b/>
          <w:szCs w:val="24"/>
        </w:rPr>
        <w:t>charakter</w:t>
      </w:r>
      <w:r>
        <w:rPr>
          <w:szCs w:val="24"/>
        </w:rPr>
        <w:t xml:space="preserve"> </w:t>
      </w:r>
      <w:r w:rsidR="007F7DA2" w:rsidRPr="00DD0FB1">
        <w:rPr>
          <w:b/>
          <w:szCs w:val="24"/>
        </w:rPr>
        <w:t>pozitivní</w:t>
      </w:r>
      <w:r w:rsidR="007F7DA2">
        <w:rPr>
          <w:szCs w:val="24"/>
        </w:rPr>
        <w:t>,</w:t>
      </w:r>
      <w:r w:rsidR="00DD0FB1">
        <w:rPr>
          <w:szCs w:val="24"/>
        </w:rPr>
        <w:t xml:space="preserve"> který</w:t>
      </w:r>
      <w:r>
        <w:rPr>
          <w:szCs w:val="24"/>
        </w:rPr>
        <w:t xml:space="preserve"> je</w:t>
      </w:r>
      <w:r w:rsidR="00DD0FB1">
        <w:rPr>
          <w:szCs w:val="24"/>
        </w:rPr>
        <w:t xml:space="preserve"> dán</w:t>
      </w:r>
      <w:r w:rsidR="007F7DA2">
        <w:rPr>
          <w:szCs w:val="24"/>
        </w:rPr>
        <w:t xml:space="preserve"> zejména nabídkou pro podniky a jejich vlastníky řešit situaci včas. </w:t>
      </w:r>
    </w:p>
    <w:p w:rsidR="00FC42C9" w:rsidRDefault="0017228C" w:rsidP="00EF1564">
      <w:pPr>
        <w:rPr>
          <w:szCs w:val="24"/>
        </w:rPr>
      </w:pPr>
      <w:r>
        <w:rPr>
          <w:szCs w:val="24"/>
        </w:rPr>
        <w:t xml:space="preserve">V průběhu kolokvia </w:t>
      </w:r>
      <w:r w:rsidR="00DD0FB1">
        <w:rPr>
          <w:szCs w:val="24"/>
        </w:rPr>
        <w:t xml:space="preserve">také </w:t>
      </w:r>
      <w:r>
        <w:rPr>
          <w:szCs w:val="24"/>
        </w:rPr>
        <w:t>zazněl dotaz</w:t>
      </w:r>
      <w:r w:rsidR="00FC42C9">
        <w:rPr>
          <w:szCs w:val="24"/>
        </w:rPr>
        <w:t xml:space="preserve">, proč soudy více nevyužívají možnost v rámci předběžného opatření uložit dotčeným osobám (managementu a vlastníkovi) </w:t>
      </w:r>
      <w:r w:rsidR="00FC42C9" w:rsidRPr="00DD0FB1">
        <w:rPr>
          <w:b/>
          <w:szCs w:val="24"/>
        </w:rPr>
        <w:t>povinnost, složit částku očekávané škody</w:t>
      </w:r>
      <w:r w:rsidR="00FC42C9">
        <w:rPr>
          <w:szCs w:val="24"/>
        </w:rPr>
        <w:t xml:space="preserve"> způso</w:t>
      </w:r>
      <w:r>
        <w:rPr>
          <w:szCs w:val="24"/>
        </w:rPr>
        <w:t xml:space="preserve">bené neřešením úpadkové situace. Jeden z účastníků kolokvia na něj odpověděl ve smyslu, </w:t>
      </w:r>
      <w:r w:rsidR="00FC42C9">
        <w:rPr>
          <w:szCs w:val="24"/>
        </w:rPr>
        <w:t>že současná právní úprava sice takové řešení umožňuje, avšak dotčeným osobám by byly „blokovány“ po dlouhou dobu (až do pravomocného vyřešení sporu o náhradu škody, která nad to může začít až po uplynutí značné doby) významné prostředky (významná část jejich majetku) bez možnosti obrany (z důvodu, že spor o náhradu škody může být zahájen až po uplynutí značné doby).</w:t>
      </w:r>
    </w:p>
    <w:p w:rsidR="00EF1564" w:rsidRDefault="0017228C" w:rsidP="004C37F5">
      <w:pPr>
        <w:spacing w:before="120" w:line="240" w:lineRule="auto"/>
        <w:rPr>
          <w:szCs w:val="24"/>
        </w:rPr>
      </w:pPr>
      <w:r>
        <w:rPr>
          <w:szCs w:val="24"/>
        </w:rPr>
        <w:t>Ze závěrů vyplynulo, že j</w:t>
      </w:r>
      <w:r w:rsidR="007F7DA2">
        <w:rPr>
          <w:szCs w:val="24"/>
        </w:rPr>
        <w:t xml:space="preserve">ako </w:t>
      </w:r>
      <w:r w:rsidR="007F7DA2" w:rsidRPr="00DD0FB1">
        <w:rPr>
          <w:b/>
          <w:szCs w:val="24"/>
        </w:rPr>
        <w:t>klíčový prvek pozitivní motivace</w:t>
      </w:r>
      <w:r>
        <w:rPr>
          <w:szCs w:val="24"/>
        </w:rPr>
        <w:t xml:space="preserve"> lze považovat fakt,</w:t>
      </w:r>
      <w:r w:rsidR="007F7DA2">
        <w:rPr>
          <w:szCs w:val="24"/>
        </w:rPr>
        <w:t xml:space="preserve"> že po úspěšné preventivní restrukturalizaci může být pro vlastníka zachováno vlastnictví společnosti a pro věřitele kooperační vztahy. </w:t>
      </w:r>
    </w:p>
    <w:p w:rsidR="000F5F28" w:rsidRDefault="0017228C" w:rsidP="00EF1564">
      <w:pPr>
        <w:rPr>
          <w:szCs w:val="24"/>
        </w:rPr>
      </w:pPr>
      <w:r>
        <w:rPr>
          <w:szCs w:val="24"/>
        </w:rPr>
        <w:t xml:space="preserve">Zajímavým názorem, který kombinuje </w:t>
      </w:r>
      <w:r w:rsidR="00843886">
        <w:rPr>
          <w:szCs w:val="24"/>
        </w:rPr>
        <w:t xml:space="preserve">principy </w:t>
      </w:r>
      <w:r>
        <w:rPr>
          <w:szCs w:val="24"/>
        </w:rPr>
        <w:t>pozitivní a negativní motivaci, byla myšlenka</w:t>
      </w:r>
      <w:r w:rsidR="00843886">
        <w:rPr>
          <w:szCs w:val="24"/>
        </w:rPr>
        <w:t xml:space="preserve"> </w:t>
      </w:r>
      <w:r w:rsidR="000F5F28">
        <w:rPr>
          <w:szCs w:val="24"/>
        </w:rPr>
        <w:t xml:space="preserve">spočívající ve zrušení reorganizace jako způsobu řešení úpadku a její ukotvení v rámci neformální restrukturalizace s tím, že jediným způsobem řešení úpadku by zůstal konkurs, který pro vlastníka znamená ztrátu vlastnictví. Tedy jinými slovy, učinit ze stávající reorganizace </w:t>
      </w:r>
      <w:r w:rsidR="000F5F28" w:rsidRPr="00843886">
        <w:rPr>
          <w:b/>
          <w:szCs w:val="24"/>
        </w:rPr>
        <w:t>preventivní restrukturalizaci</w:t>
      </w:r>
      <w:r w:rsidR="000F5F28">
        <w:rPr>
          <w:szCs w:val="24"/>
        </w:rPr>
        <w:t>, která představuje v podstatě dohodu podniku s věřiteli s minimální ingerencí soudní moci (neboť těžiště spočívá právě v takové dohodě)</w:t>
      </w:r>
      <w:r w:rsidR="00FC42C9">
        <w:rPr>
          <w:szCs w:val="24"/>
        </w:rPr>
        <w:t>.</w:t>
      </w:r>
    </w:p>
    <w:p w:rsidR="00B869A3" w:rsidRDefault="00B869A3">
      <w:pPr>
        <w:jc w:val="left"/>
        <w:rPr>
          <w:rStyle w:val="Siln"/>
          <w:rFonts w:ascii="Arial" w:eastAsiaTheme="minorEastAsia" w:hAnsi="Arial" w:cs="Arial"/>
          <w:bCs w:val="0"/>
          <w:color w:val="FF0000"/>
          <w:szCs w:val="24"/>
          <w:shd w:val="clear" w:color="auto" w:fill="FFFFFF"/>
          <w:lang w:eastAsia="cs-CZ"/>
        </w:rPr>
      </w:pPr>
      <w:r>
        <w:rPr>
          <w:rStyle w:val="Siln"/>
          <w:rFonts w:ascii="Arial" w:hAnsi="Arial" w:cs="Arial"/>
          <w:b w:val="0"/>
          <w:color w:val="FF0000"/>
          <w:szCs w:val="24"/>
          <w:shd w:val="clear" w:color="auto" w:fill="FFFFFF"/>
        </w:rPr>
        <w:br w:type="page"/>
      </w:r>
    </w:p>
    <w:p w:rsidR="00D2510A" w:rsidRPr="00B869A3" w:rsidRDefault="00D2510A" w:rsidP="005A5A62">
      <w:pPr>
        <w:pStyle w:val="Nadpis2"/>
        <w:numPr>
          <w:ilvl w:val="1"/>
          <w:numId w:val="15"/>
        </w:numPr>
      </w:pPr>
      <w:bookmarkStart w:id="125" w:name="_Toc31054473"/>
      <w:r w:rsidRPr="00B869A3">
        <w:rPr>
          <w:rStyle w:val="Siln"/>
          <w:rFonts w:cs="Times New Roman"/>
          <w:b/>
          <w:color w:val="auto"/>
          <w:shd w:val="clear" w:color="auto" w:fill="FFFFFF"/>
        </w:rPr>
        <w:lastRenderedPageBreak/>
        <w:t>Finanční charakteristiky odlišující úpadkové a bezproblémové podniky – budování systému včasného varování podnikové krize</w:t>
      </w:r>
      <w:bookmarkEnd w:id="125"/>
    </w:p>
    <w:p w:rsidR="00D2510A" w:rsidRDefault="00D2510A" w:rsidP="00074DC4">
      <w:pPr>
        <w:rPr>
          <w:szCs w:val="24"/>
        </w:rPr>
      </w:pPr>
    </w:p>
    <w:p w:rsidR="00074DC4" w:rsidRPr="002A567E" w:rsidRDefault="00074DC4" w:rsidP="00074DC4">
      <w:pPr>
        <w:rPr>
          <w:szCs w:val="24"/>
        </w:rPr>
      </w:pPr>
      <w:r>
        <w:rPr>
          <w:szCs w:val="24"/>
        </w:rPr>
        <w:t xml:space="preserve">Výsledky analýzy </w:t>
      </w:r>
      <w:r w:rsidRPr="00074DC4">
        <w:rPr>
          <w:szCs w:val="24"/>
        </w:rPr>
        <w:t>finančních charakteristik odlišujících úpadkové a bezproblémové podniky</w:t>
      </w:r>
      <w:r>
        <w:rPr>
          <w:szCs w:val="24"/>
        </w:rPr>
        <w:t xml:space="preserve"> byly prezentovány na odborném kolokviu konaném na Vysoké škole ekonomické v Praze v prosinci 2019</w:t>
      </w:r>
      <w:r w:rsidRPr="002A567E">
        <w:rPr>
          <w:szCs w:val="24"/>
        </w:rPr>
        <w:t xml:space="preserve">. Cílem kolokvia </w:t>
      </w:r>
      <w:r>
        <w:rPr>
          <w:szCs w:val="24"/>
        </w:rPr>
        <w:t>byla</w:t>
      </w:r>
      <w:r w:rsidRPr="002A567E">
        <w:rPr>
          <w:szCs w:val="24"/>
        </w:rPr>
        <w:t xml:space="preserve"> odborná diskuse na téma finančních charakteristik, které odlišují úpadkové a bezproblémové podniky a mají tak diskriminační potenciál pro systém signálů včasného varování podnikové krize. </w:t>
      </w:r>
    </w:p>
    <w:p w:rsidR="00074DC4" w:rsidRDefault="00074DC4" w:rsidP="00074DC4">
      <w:pPr>
        <w:rPr>
          <w:szCs w:val="24"/>
        </w:rPr>
      </w:pPr>
      <w:r w:rsidRPr="002A567E">
        <w:rPr>
          <w:szCs w:val="24"/>
        </w:rPr>
        <w:t>Finanční charakteristiky jsou analyzovány za období jednoho, dvou a tří let před zjištěním úpadku u úpadkových podniků, přičemž údaje pro jejich bezproblémové protějšky jsou ze stejného období. Diskuse je v rámci výše uvedeného výzkumného projektu zaměřena na případnou možnost předejití úpadku formou preventivní restrukturalizace, kterou navrhuje implementovat Evropská komise v členských zemích Evropské unie. Klíčovým faktorem takové možnosti je okamžik, ve kterém má ekonomický smysl restrukturalizaci provést a úpadek tak odvrátit a také systém včasného varování podnikové krize, který by podnikům indikoval, že je potřeba provést detailní obchodní a finanční analýzu s cílem identifikace skutečného stavu podniku a přijetí případných ozdravných opatření.</w:t>
      </w:r>
    </w:p>
    <w:p w:rsidR="00525617" w:rsidRPr="002A567E" w:rsidRDefault="00525617" w:rsidP="00074DC4">
      <w:pPr>
        <w:rPr>
          <w:szCs w:val="24"/>
        </w:rPr>
      </w:pPr>
    </w:p>
    <w:p w:rsidR="00074DC4" w:rsidRDefault="00074DC4" w:rsidP="00B370E5">
      <w:pPr>
        <w:pStyle w:val="Nadpis3"/>
        <w:numPr>
          <w:ilvl w:val="2"/>
          <w:numId w:val="15"/>
        </w:numPr>
      </w:pPr>
      <w:bookmarkStart w:id="126" w:name="_Toc31054474"/>
      <w:r w:rsidRPr="00074DC4">
        <w:t>Data a metodika</w:t>
      </w:r>
      <w:bookmarkEnd w:id="126"/>
    </w:p>
    <w:p w:rsidR="00525617" w:rsidRPr="00525617" w:rsidRDefault="00525617" w:rsidP="00525617">
      <w:pPr>
        <w:rPr>
          <w:lang w:eastAsia="cs-CZ"/>
        </w:rPr>
      </w:pPr>
    </w:p>
    <w:p w:rsidR="00074DC4" w:rsidRDefault="00074DC4" w:rsidP="00074DC4">
      <w:pPr>
        <w:rPr>
          <w:szCs w:val="24"/>
        </w:rPr>
      </w:pPr>
      <w:r w:rsidRPr="002A567E">
        <w:rPr>
          <w:szCs w:val="24"/>
        </w:rPr>
        <w:t>Finanční charakteristiky jsou zkoumány na souboru celkem 4 593 finančních výkazů podniků, které v letech 2009 až 2018 skončily v úpadku, a u kterých jsou dostupné finanční údaje (zejména za období jednoho roku před úpadkem) a jejich bezproblémových protějšků ve stejném období. Strukturu datového souboru prezentuje následující tabulka.</w:t>
      </w:r>
    </w:p>
    <w:p w:rsidR="001545FF" w:rsidRDefault="001545FF" w:rsidP="00074DC4">
      <w:pPr>
        <w:rPr>
          <w:szCs w:val="24"/>
        </w:rPr>
      </w:pPr>
    </w:p>
    <w:p w:rsidR="001545FF" w:rsidRDefault="001545FF" w:rsidP="001545FF">
      <w:pPr>
        <w:pStyle w:val="Titulek"/>
        <w:keepNext/>
      </w:pPr>
      <w:bookmarkStart w:id="127" w:name="_Toc31054825"/>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49</w:t>
      </w:r>
      <w:r w:rsidR="00163A91">
        <w:rPr>
          <w:noProof/>
        </w:rPr>
        <w:fldChar w:fldCharType="end"/>
      </w:r>
      <w:r>
        <w:t xml:space="preserve"> Struktura datového sboru</w:t>
      </w:r>
      <w:bookmarkEnd w:id="127"/>
    </w:p>
    <w:tbl>
      <w:tblPr>
        <w:tblW w:w="5000" w:type="pct"/>
        <w:tblCellMar>
          <w:left w:w="0" w:type="dxa"/>
          <w:right w:w="0" w:type="dxa"/>
        </w:tblCellMar>
        <w:tblLook w:val="0600"/>
      </w:tblPr>
      <w:tblGrid>
        <w:gridCol w:w="2985"/>
        <w:gridCol w:w="2518"/>
        <w:gridCol w:w="2329"/>
        <w:gridCol w:w="1264"/>
      </w:tblGrid>
      <w:tr w:rsidR="00074DC4" w:rsidRPr="00561874" w:rsidTr="00C65BE3">
        <w:trPr>
          <w:trHeight w:val="253"/>
        </w:trPr>
        <w:tc>
          <w:tcPr>
            <w:tcW w:w="1641" w:type="pct"/>
            <w:tcBorders>
              <w:top w:val="single" w:sz="4" w:space="0" w:color="auto"/>
              <w:left w:val="single" w:sz="4" w:space="0" w:color="auto"/>
              <w:bottom w:val="nil"/>
              <w:right w:val="nil"/>
            </w:tcBorders>
            <w:shd w:val="clear" w:color="auto" w:fill="auto"/>
            <w:tcMar>
              <w:top w:w="12" w:type="dxa"/>
              <w:left w:w="12" w:type="dxa"/>
              <w:bottom w:w="0" w:type="dxa"/>
              <w:right w:w="12" w:type="dxa"/>
            </w:tcMar>
            <w:vAlign w:val="center"/>
            <w:hideMark/>
          </w:tcPr>
          <w:p w:rsidR="00074DC4" w:rsidRPr="00561874" w:rsidRDefault="00074DC4" w:rsidP="00C65BE3">
            <w:pPr>
              <w:rPr>
                <w:sz w:val="20"/>
                <w:szCs w:val="20"/>
              </w:rPr>
            </w:pPr>
            <w:r w:rsidRPr="00561874">
              <w:rPr>
                <w:sz w:val="20"/>
                <w:szCs w:val="20"/>
              </w:rPr>
              <w:t> </w:t>
            </w:r>
          </w:p>
        </w:tc>
        <w:tc>
          <w:tcPr>
            <w:tcW w:w="2664" w:type="pct"/>
            <w:gridSpan w:val="2"/>
            <w:tcBorders>
              <w:top w:val="single" w:sz="4" w:space="0" w:color="auto"/>
              <w:left w:val="nil"/>
              <w:bottom w:val="nil"/>
              <w:right w:val="single" w:sz="4" w:space="0" w:color="E0E0E0"/>
            </w:tcBorders>
            <w:shd w:val="clear" w:color="auto" w:fill="auto"/>
            <w:tcMar>
              <w:top w:w="12" w:type="dxa"/>
              <w:left w:w="12" w:type="dxa"/>
              <w:bottom w:w="0" w:type="dxa"/>
              <w:right w:w="12" w:type="dxa"/>
            </w:tcMar>
            <w:vAlign w:val="center"/>
            <w:hideMark/>
          </w:tcPr>
          <w:p w:rsidR="00074DC4" w:rsidRPr="00561874" w:rsidRDefault="00074DC4" w:rsidP="00C65BE3">
            <w:pPr>
              <w:jc w:val="center"/>
              <w:rPr>
                <w:sz w:val="20"/>
                <w:szCs w:val="20"/>
              </w:rPr>
            </w:pPr>
            <w:r w:rsidRPr="00561874">
              <w:rPr>
                <w:sz w:val="20"/>
                <w:szCs w:val="20"/>
              </w:rPr>
              <w:t>Stav podniku</w:t>
            </w:r>
          </w:p>
        </w:tc>
        <w:tc>
          <w:tcPr>
            <w:tcW w:w="695" w:type="pct"/>
            <w:vMerge w:val="restart"/>
            <w:tcBorders>
              <w:top w:val="single" w:sz="4" w:space="0" w:color="auto"/>
              <w:left w:val="single" w:sz="4" w:space="0" w:color="E0E0E0"/>
              <w:bottom w:val="single" w:sz="4" w:space="0" w:color="000000"/>
              <w:right w:val="single" w:sz="4" w:space="0" w:color="auto"/>
            </w:tcBorders>
            <w:shd w:val="clear" w:color="auto" w:fill="auto"/>
            <w:tcMar>
              <w:top w:w="12" w:type="dxa"/>
              <w:left w:w="12" w:type="dxa"/>
              <w:bottom w:w="0" w:type="dxa"/>
              <w:right w:w="12" w:type="dxa"/>
            </w:tcMar>
            <w:vAlign w:val="center"/>
            <w:hideMark/>
          </w:tcPr>
          <w:p w:rsidR="00074DC4" w:rsidRPr="00561874" w:rsidRDefault="00074DC4" w:rsidP="00C65BE3">
            <w:pPr>
              <w:jc w:val="center"/>
              <w:rPr>
                <w:sz w:val="20"/>
                <w:szCs w:val="20"/>
              </w:rPr>
            </w:pPr>
            <w:r w:rsidRPr="00561874">
              <w:rPr>
                <w:sz w:val="20"/>
                <w:szCs w:val="20"/>
              </w:rPr>
              <w:t>Total</w:t>
            </w:r>
          </w:p>
        </w:tc>
      </w:tr>
      <w:tr w:rsidR="00074DC4" w:rsidRPr="00561874" w:rsidTr="00C65BE3">
        <w:trPr>
          <w:trHeight w:val="498"/>
        </w:trPr>
        <w:tc>
          <w:tcPr>
            <w:tcW w:w="1641" w:type="pct"/>
            <w:tcBorders>
              <w:top w:val="nil"/>
              <w:left w:val="single" w:sz="4" w:space="0" w:color="auto"/>
              <w:bottom w:val="single" w:sz="4" w:space="0" w:color="000000"/>
              <w:right w:val="nil"/>
            </w:tcBorders>
            <w:shd w:val="clear" w:color="auto" w:fill="auto"/>
            <w:tcMar>
              <w:top w:w="12" w:type="dxa"/>
              <w:left w:w="12" w:type="dxa"/>
              <w:bottom w:w="0" w:type="dxa"/>
              <w:right w:w="12" w:type="dxa"/>
            </w:tcMar>
            <w:vAlign w:val="center"/>
            <w:hideMark/>
          </w:tcPr>
          <w:p w:rsidR="00074DC4" w:rsidRPr="00561874" w:rsidRDefault="00074DC4" w:rsidP="00C65BE3">
            <w:pPr>
              <w:rPr>
                <w:sz w:val="20"/>
                <w:szCs w:val="20"/>
              </w:rPr>
            </w:pPr>
            <w:r w:rsidRPr="00561874">
              <w:rPr>
                <w:sz w:val="20"/>
                <w:szCs w:val="20"/>
              </w:rPr>
              <w:t> </w:t>
            </w:r>
          </w:p>
        </w:tc>
        <w:tc>
          <w:tcPr>
            <w:tcW w:w="1384" w:type="pct"/>
            <w:tcBorders>
              <w:top w:val="nil"/>
              <w:left w:val="nil"/>
              <w:bottom w:val="single" w:sz="4" w:space="0" w:color="000000"/>
              <w:right w:val="single" w:sz="4" w:space="0" w:color="E0E0E0"/>
            </w:tcBorders>
            <w:shd w:val="clear" w:color="auto" w:fill="auto"/>
            <w:tcMar>
              <w:top w:w="12" w:type="dxa"/>
              <w:left w:w="12" w:type="dxa"/>
              <w:bottom w:w="0" w:type="dxa"/>
              <w:right w:w="12" w:type="dxa"/>
            </w:tcMar>
            <w:vAlign w:val="center"/>
            <w:hideMark/>
          </w:tcPr>
          <w:p w:rsidR="00074DC4" w:rsidRPr="00561874" w:rsidRDefault="00074DC4" w:rsidP="00C65BE3">
            <w:pPr>
              <w:jc w:val="center"/>
              <w:rPr>
                <w:sz w:val="20"/>
                <w:szCs w:val="20"/>
              </w:rPr>
            </w:pPr>
            <w:r w:rsidRPr="00561874">
              <w:rPr>
                <w:sz w:val="20"/>
                <w:szCs w:val="20"/>
              </w:rPr>
              <w:t>Bezproblémové podniky</w:t>
            </w:r>
          </w:p>
        </w:tc>
        <w:tc>
          <w:tcPr>
            <w:tcW w:w="1280" w:type="pct"/>
            <w:tcBorders>
              <w:top w:val="nil"/>
              <w:left w:val="single" w:sz="4" w:space="0" w:color="E0E0E0"/>
              <w:bottom w:val="single" w:sz="4" w:space="0" w:color="000000"/>
              <w:right w:val="single" w:sz="4" w:space="0" w:color="E0E0E0"/>
            </w:tcBorders>
            <w:shd w:val="clear" w:color="auto" w:fill="auto"/>
            <w:tcMar>
              <w:top w:w="12" w:type="dxa"/>
              <w:left w:w="12" w:type="dxa"/>
              <w:bottom w:w="0" w:type="dxa"/>
              <w:right w:w="12" w:type="dxa"/>
            </w:tcMar>
            <w:vAlign w:val="center"/>
            <w:hideMark/>
          </w:tcPr>
          <w:p w:rsidR="00074DC4" w:rsidRPr="00561874" w:rsidRDefault="00074DC4" w:rsidP="00C65BE3">
            <w:pPr>
              <w:jc w:val="center"/>
              <w:rPr>
                <w:sz w:val="20"/>
                <w:szCs w:val="20"/>
              </w:rPr>
            </w:pPr>
            <w:r w:rsidRPr="00561874">
              <w:rPr>
                <w:sz w:val="20"/>
                <w:szCs w:val="20"/>
              </w:rPr>
              <w:t>Úpadkové podniky</w:t>
            </w:r>
          </w:p>
        </w:tc>
        <w:tc>
          <w:tcPr>
            <w:tcW w:w="695" w:type="pct"/>
            <w:vMerge/>
            <w:tcBorders>
              <w:top w:val="nil"/>
              <w:left w:val="single" w:sz="4" w:space="0" w:color="E0E0E0"/>
              <w:bottom w:val="single" w:sz="4" w:space="0" w:color="000000"/>
              <w:right w:val="single" w:sz="4" w:space="0" w:color="auto"/>
            </w:tcBorders>
            <w:shd w:val="clear" w:color="auto" w:fill="auto"/>
            <w:vAlign w:val="center"/>
            <w:hideMark/>
          </w:tcPr>
          <w:p w:rsidR="00074DC4" w:rsidRPr="00561874" w:rsidRDefault="00074DC4" w:rsidP="00C65BE3">
            <w:pPr>
              <w:jc w:val="center"/>
              <w:rPr>
                <w:sz w:val="20"/>
                <w:szCs w:val="20"/>
              </w:rPr>
            </w:pPr>
          </w:p>
        </w:tc>
      </w:tr>
      <w:tr w:rsidR="00074DC4" w:rsidRPr="00561874" w:rsidTr="00C65BE3">
        <w:trPr>
          <w:trHeight w:val="253"/>
        </w:trPr>
        <w:tc>
          <w:tcPr>
            <w:tcW w:w="1641" w:type="pct"/>
            <w:tcBorders>
              <w:top w:val="single" w:sz="4" w:space="0" w:color="000000"/>
              <w:left w:val="single" w:sz="4" w:space="0" w:color="auto"/>
              <w:bottom w:val="single" w:sz="4" w:space="0" w:color="AEAEAE"/>
              <w:right w:val="nil"/>
            </w:tcBorders>
            <w:shd w:val="clear" w:color="auto" w:fill="auto"/>
            <w:tcMar>
              <w:top w:w="12" w:type="dxa"/>
              <w:left w:w="12" w:type="dxa"/>
              <w:bottom w:w="0" w:type="dxa"/>
              <w:right w:w="12" w:type="dxa"/>
            </w:tcMar>
            <w:vAlign w:val="center"/>
            <w:hideMark/>
          </w:tcPr>
          <w:p w:rsidR="00074DC4" w:rsidRPr="00561874" w:rsidRDefault="00074DC4" w:rsidP="00C65BE3">
            <w:pPr>
              <w:rPr>
                <w:sz w:val="20"/>
                <w:szCs w:val="20"/>
              </w:rPr>
            </w:pPr>
            <w:r w:rsidRPr="00561874">
              <w:rPr>
                <w:sz w:val="20"/>
                <w:szCs w:val="20"/>
              </w:rPr>
              <w:t>1 rok před úpadkem</w:t>
            </w:r>
          </w:p>
        </w:tc>
        <w:tc>
          <w:tcPr>
            <w:tcW w:w="1384" w:type="pct"/>
            <w:tcBorders>
              <w:top w:val="single" w:sz="4" w:space="0" w:color="000000"/>
              <w:left w:val="nil"/>
              <w:bottom w:val="single" w:sz="4" w:space="0" w:color="AEAEAE"/>
              <w:right w:val="single" w:sz="4" w:space="0" w:color="E0E0E0"/>
            </w:tcBorders>
            <w:shd w:val="clear" w:color="auto" w:fill="auto"/>
            <w:tcMar>
              <w:top w:w="12" w:type="dxa"/>
              <w:left w:w="12" w:type="dxa"/>
              <w:bottom w:w="0" w:type="dxa"/>
              <w:right w:w="12" w:type="dxa"/>
            </w:tcMar>
            <w:vAlign w:val="center"/>
            <w:hideMark/>
          </w:tcPr>
          <w:p w:rsidR="00074DC4" w:rsidRPr="00561874" w:rsidRDefault="00074DC4" w:rsidP="00C65BE3">
            <w:pPr>
              <w:jc w:val="center"/>
              <w:rPr>
                <w:sz w:val="20"/>
                <w:szCs w:val="20"/>
              </w:rPr>
            </w:pPr>
            <w:r w:rsidRPr="00561874">
              <w:rPr>
                <w:sz w:val="20"/>
                <w:szCs w:val="20"/>
              </w:rPr>
              <w:t>827</w:t>
            </w:r>
          </w:p>
        </w:tc>
        <w:tc>
          <w:tcPr>
            <w:tcW w:w="1280" w:type="pct"/>
            <w:tcBorders>
              <w:top w:val="single" w:sz="4" w:space="0" w:color="000000"/>
              <w:left w:val="single" w:sz="4" w:space="0" w:color="E0E0E0"/>
              <w:bottom w:val="single" w:sz="4" w:space="0" w:color="AEAEAE"/>
              <w:right w:val="single" w:sz="4" w:space="0" w:color="E0E0E0"/>
            </w:tcBorders>
            <w:shd w:val="clear" w:color="auto" w:fill="auto"/>
            <w:tcMar>
              <w:top w:w="12" w:type="dxa"/>
              <w:left w:w="12" w:type="dxa"/>
              <w:bottom w:w="0" w:type="dxa"/>
              <w:right w:w="12" w:type="dxa"/>
            </w:tcMar>
            <w:vAlign w:val="center"/>
            <w:hideMark/>
          </w:tcPr>
          <w:p w:rsidR="00074DC4" w:rsidRPr="00561874" w:rsidRDefault="00074DC4" w:rsidP="00C65BE3">
            <w:pPr>
              <w:jc w:val="center"/>
              <w:rPr>
                <w:sz w:val="20"/>
                <w:szCs w:val="20"/>
              </w:rPr>
            </w:pPr>
            <w:r w:rsidRPr="00561874">
              <w:rPr>
                <w:sz w:val="20"/>
                <w:szCs w:val="20"/>
              </w:rPr>
              <w:t>827</w:t>
            </w:r>
          </w:p>
        </w:tc>
        <w:tc>
          <w:tcPr>
            <w:tcW w:w="695" w:type="pct"/>
            <w:tcBorders>
              <w:top w:val="single" w:sz="4" w:space="0" w:color="000000"/>
              <w:left w:val="single" w:sz="4" w:space="0" w:color="E0E0E0"/>
              <w:bottom w:val="single" w:sz="4" w:space="0" w:color="AEAEAE"/>
              <w:right w:val="single" w:sz="4" w:space="0" w:color="auto"/>
            </w:tcBorders>
            <w:shd w:val="clear" w:color="auto" w:fill="auto"/>
            <w:tcMar>
              <w:top w:w="12" w:type="dxa"/>
              <w:left w:w="12" w:type="dxa"/>
              <w:bottom w:w="0" w:type="dxa"/>
              <w:right w:w="12" w:type="dxa"/>
            </w:tcMar>
            <w:vAlign w:val="center"/>
            <w:hideMark/>
          </w:tcPr>
          <w:p w:rsidR="00074DC4" w:rsidRPr="00561874" w:rsidRDefault="00074DC4" w:rsidP="00C65BE3">
            <w:pPr>
              <w:jc w:val="center"/>
              <w:rPr>
                <w:sz w:val="20"/>
                <w:szCs w:val="20"/>
              </w:rPr>
            </w:pPr>
            <w:r w:rsidRPr="00561874">
              <w:rPr>
                <w:sz w:val="20"/>
                <w:szCs w:val="20"/>
              </w:rPr>
              <w:t>1 654</w:t>
            </w:r>
          </w:p>
        </w:tc>
      </w:tr>
      <w:tr w:rsidR="00074DC4" w:rsidRPr="00561874" w:rsidTr="00C65BE3">
        <w:trPr>
          <w:trHeight w:val="253"/>
        </w:trPr>
        <w:tc>
          <w:tcPr>
            <w:tcW w:w="1641" w:type="pct"/>
            <w:tcBorders>
              <w:top w:val="single" w:sz="4" w:space="0" w:color="AEAEAE"/>
              <w:left w:val="single" w:sz="4" w:space="0" w:color="auto"/>
              <w:bottom w:val="single" w:sz="4" w:space="0" w:color="AEAEAE"/>
              <w:right w:val="nil"/>
            </w:tcBorders>
            <w:shd w:val="clear" w:color="auto" w:fill="auto"/>
            <w:tcMar>
              <w:top w:w="12" w:type="dxa"/>
              <w:left w:w="12" w:type="dxa"/>
              <w:bottom w:w="0" w:type="dxa"/>
              <w:right w:w="12" w:type="dxa"/>
            </w:tcMar>
            <w:vAlign w:val="center"/>
            <w:hideMark/>
          </w:tcPr>
          <w:p w:rsidR="00074DC4" w:rsidRPr="00561874" w:rsidRDefault="00074DC4" w:rsidP="00C65BE3">
            <w:pPr>
              <w:rPr>
                <w:sz w:val="20"/>
                <w:szCs w:val="20"/>
              </w:rPr>
            </w:pPr>
            <w:r w:rsidRPr="00561874">
              <w:rPr>
                <w:sz w:val="20"/>
                <w:szCs w:val="20"/>
              </w:rPr>
              <w:t>2 roky před úpadkem</w:t>
            </w:r>
          </w:p>
        </w:tc>
        <w:tc>
          <w:tcPr>
            <w:tcW w:w="1384" w:type="pct"/>
            <w:tcBorders>
              <w:top w:val="single" w:sz="4" w:space="0" w:color="AEAEAE"/>
              <w:left w:val="nil"/>
              <w:bottom w:val="single" w:sz="4" w:space="0" w:color="AEAEAE"/>
              <w:right w:val="single" w:sz="4" w:space="0" w:color="E0E0E0"/>
            </w:tcBorders>
            <w:shd w:val="clear" w:color="auto" w:fill="auto"/>
            <w:tcMar>
              <w:top w:w="12" w:type="dxa"/>
              <w:left w:w="12" w:type="dxa"/>
              <w:bottom w:w="0" w:type="dxa"/>
              <w:right w:w="12" w:type="dxa"/>
            </w:tcMar>
            <w:vAlign w:val="center"/>
            <w:hideMark/>
          </w:tcPr>
          <w:p w:rsidR="00074DC4" w:rsidRPr="00561874" w:rsidRDefault="00074DC4" w:rsidP="00C65BE3">
            <w:pPr>
              <w:jc w:val="center"/>
              <w:rPr>
                <w:sz w:val="20"/>
                <w:szCs w:val="20"/>
              </w:rPr>
            </w:pPr>
            <w:r w:rsidRPr="00561874">
              <w:rPr>
                <w:sz w:val="20"/>
                <w:szCs w:val="20"/>
              </w:rPr>
              <w:t>802</w:t>
            </w:r>
          </w:p>
        </w:tc>
        <w:tc>
          <w:tcPr>
            <w:tcW w:w="1280" w:type="pct"/>
            <w:tcBorders>
              <w:top w:val="single" w:sz="4" w:space="0" w:color="AEAEAE"/>
              <w:left w:val="single" w:sz="4" w:space="0" w:color="E0E0E0"/>
              <w:bottom w:val="single" w:sz="4" w:space="0" w:color="AEAEAE"/>
              <w:right w:val="single" w:sz="4" w:space="0" w:color="E0E0E0"/>
            </w:tcBorders>
            <w:shd w:val="clear" w:color="auto" w:fill="auto"/>
            <w:tcMar>
              <w:top w:w="12" w:type="dxa"/>
              <w:left w:w="12" w:type="dxa"/>
              <w:bottom w:w="0" w:type="dxa"/>
              <w:right w:w="12" w:type="dxa"/>
            </w:tcMar>
            <w:vAlign w:val="center"/>
            <w:hideMark/>
          </w:tcPr>
          <w:p w:rsidR="00074DC4" w:rsidRPr="00561874" w:rsidRDefault="00074DC4" w:rsidP="00C65BE3">
            <w:pPr>
              <w:jc w:val="center"/>
              <w:rPr>
                <w:sz w:val="20"/>
                <w:szCs w:val="20"/>
              </w:rPr>
            </w:pPr>
            <w:r w:rsidRPr="00561874">
              <w:rPr>
                <w:sz w:val="20"/>
                <w:szCs w:val="20"/>
              </w:rPr>
              <w:t>759</w:t>
            </w:r>
          </w:p>
        </w:tc>
        <w:tc>
          <w:tcPr>
            <w:tcW w:w="695" w:type="pct"/>
            <w:tcBorders>
              <w:top w:val="single" w:sz="4" w:space="0" w:color="AEAEAE"/>
              <w:left w:val="single" w:sz="4" w:space="0" w:color="E0E0E0"/>
              <w:bottom w:val="single" w:sz="4" w:space="0" w:color="AEAEAE"/>
              <w:right w:val="single" w:sz="4" w:space="0" w:color="auto"/>
            </w:tcBorders>
            <w:shd w:val="clear" w:color="auto" w:fill="auto"/>
            <w:tcMar>
              <w:top w:w="12" w:type="dxa"/>
              <w:left w:w="12" w:type="dxa"/>
              <w:bottom w:w="0" w:type="dxa"/>
              <w:right w:w="12" w:type="dxa"/>
            </w:tcMar>
            <w:vAlign w:val="center"/>
            <w:hideMark/>
          </w:tcPr>
          <w:p w:rsidR="00074DC4" w:rsidRPr="00561874" w:rsidRDefault="00074DC4" w:rsidP="00C65BE3">
            <w:pPr>
              <w:jc w:val="center"/>
              <w:rPr>
                <w:sz w:val="20"/>
                <w:szCs w:val="20"/>
              </w:rPr>
            </w:pPr>
            <w:r w:rsidRPr="00561874">
              <w:rPr>
                <w:sz w:val="20"/>
                <w:szCs w:val="20"/>
              </w:rPr>
              <w:t>1 561</w:t>
            </w:r>
          </w:p>
        </w:tc>
      </w:tr>
      <w:tr w:rsidR="00074DC4" w:rsidRPr="00561874" w:rsidTr="00C65BE3">
        <w:trPr>
          <w:trHeight w:val="253"/>
        </w:trPr>
        <w:tc>
          <w:tcPr>
            <w:tcW w:w="1641" w:type="pct"/>
            <w:tcBorders>
              <w:top w:val="single" w:sz="4" w:space="0" w:color="AEAEAE"/>
              <w:left w:val="single" w:sz="4" w:space="0" w:color="auto"/>
              <w:bottom w:val="single" w:sz="4" w:space="0" w:color="AEAEAE"/>
              <w:right w:val="nil"/>
            </w:tcBorders>
            <w:shd w:val="clear" w:color="auto" w:fill="auto"/>
            <w:tcMar>
              <w:top w:w="12" w:type="dxa"/>
              <w:left w:w="12" w:type="dxa"/>
              <w:bottom w:w="0" w:type="dxa"/>
              <w:right w:w="12" w:type="dxa"/>
            </w:tcMar>
            <w:vAlign w:val="center"/>
            <w:hideMark/>
          </w:tcPr>
          <w:p w:rsidR="00074DC4" w:rsidRPr="00561874" w:rsidRDefault="00074DC4" w:rsidP="00C65BE3">
            <w:pPr>
              <w:rPr>
                <w:sz w:val="20"/>
                <w:szCs w:val="20"/>
              </w:rPr>
            </w:pPr>
            <w:r w:rsidRPr="00561874">
              <w:rPr>
                <w:sz w:val="20"/>
                <w:szCs w:val="20"/>
              </w:rPr>
              <w:t>3 roky před úpadkem</w:t>
            </w:r>
          </w:p>
        </w:tc>
        <w:tc>
          <w:tcPr>
            <w:tcW w:w="1384" w:type="pct"/>
            <w:tcBorders>
              <w:top w:val="single" w:sz="4" w:space="0" w:color="AEAEAE"/>
              <w:left w:val="nil"/>
              <w:bottom w:val="single" w:sz="4" w:space="0" w:color="AEAEAE"/>
              <w:right w:val="single" w:sz="4" w:space="0" w:color="E0E0E0"/>
            </w:tcBorders>
            <w:shd w:val="clear" w:color="auto" w:fill="auto"/>
            <w:tcMar>
              <w:top w:w="12" w:type="dxa"/>
              <w:left w:w="12" w:type="dxa"/>
              <w:bottom w:w="0" w:type="dxa"/>
              <w:right w:w="12" w:type="dxa"/>
            </w:tcMar>
            <w:vAlign w:val="center"/>
            <w:hideMark/>
          </w:tcPr>
          <w:p w:rsidR="00074DC4" w:rsidRPr="00561874" w:rsidRDefault="00074DC4" w:rsidP="00C65BE3">
            <w:pPr>
              <w:jc w:val="center"/>
              <w:rPr>
                <w:sz w:val="20"/>
                <w:szCs w:val="20"/>
              </w:rPr>
            </w:pPr>
            <w:r w:rsidRPr="00561874">
              <w:rPr>
                <w:sz w:val="20"/>
                <w:szCs w:val="20"/>
              </w:rPr>
              <w:t>682</w:t>
            </w:r>
          </w:p>
        </w:tc>
        <w:tc>
          <w:tcPr>
            <w:tcW w:w="1280" w:type="pct"/>
            <w:tcBorders>
              <w:top w:val="single" w:sz="4" w:space="0" w:color="AEAEAE"/>
              <w:left w:val="single" w:sz="4" w:space="0" w:color="E0E0E0"/>
              <w:bottom w:val="single" w:sz="4" w:space="0" w:color="AEAEAE"/>
              <w:right w:val="single" w:sz="4" w:space="0" w:color="E0E0E0"/>
            </w:tcBorders>
            <w:shd w:val="clear" w:color="auto" w:fill="auto"/>
            <w:tcMar>
              <w:top w:w="12" w:type="dxa"/>
              <w:left w:w="12" w:type="dxa"/>
              <w:bottom w:w="0" w:type="dxa"/>
              <w:right w:w="12" w:type="dxa"/>
            </w:tcMar>
            <w:vAlign w:val="center"/>
            <w:hideMark/>
          </w:tcPr>
          <w:p w:rsidR="00074DC4" w:rsidRPr="00561874" w:rsidRDefault="00074DC4" w:rsidP="00C65BE3">
            <w:pPr>
              <w:jc w:val="center"/>
              <w:rPr>
                <w:sz w:val="20"/>
                <w:szCs w:val="20"/>
              </w:rPr>
            </w:pPr>
            <w:r w:rsidRPr="00561874">
              <w:rPr>
                <w:sz w:val="20"/>
                <w:szCs w:val="20"/>
              </w:rPr>
              <w:t>696</w:t>
            </w:r>
          </w:p>
        </w:tc>
        <w:tc>
          <w:tcPr>
            <w:tcW w:w="695" w:type="pct"/>
            <w:tcBorders>
              <w:top w:val="single" w:sz="4" w:space="0" w:color="AEAEAE"/>
              <w:left w:val="single" w:sz="4" w:space="0" w:color="E0E0E0"/>
              <w:bottom w:val="single" w:sz="4" w:space="0" w:color="AEAEAE"/>
              <w:right w:val="single" w:sz="4" w:space="0" w:color="auto"/>
            </w:tcBorders>
            <w:shd w:val="clear" w:color="auto" w:fill="auto"/>
            <w:tcMar>
              <w:top w:w="12" w:type="dxa"/>
              <w:left w:w="12" w:type="dxa"/>
              <w:bottom w:w="0" w:type="dxa"/>
              <w:right w:w="12" w:type="dxa"/>
            </w:tcMar>
            <w:vAlign w:val="center"/>
            <w:hideMark/>
          </w:tcPr>
          <w:p w:rsidR="00074DC4" w:rsidRPr="00561874" w:rsidRDefault="00074DC4" w:rsidP="00C65BE3">
            <w:pPr>
              <w:jc w:val="center"/>
              <w:rPr>
                <w:sz w:val="20"/>
                <w:szCs w:val="20"/>
              </w:rPr>
            </w:pPr>
            <w:r w:rsidRPr="00561874">
              <w:rPr>
                <w:sz w:val="20"/>
                <w:szCs w:val="20"/>
              </w:rPr>
              <w:t>1 378</w:t>
            </w:r>
          </w:p>
        </w:tc>
      </w:tr>
      <w:tr w:rsidR="00074DC4" w:rsidRPr="00561874" w:rsidTr="00C65BE3">
        <w:trPr>
          <w:trHeight w:val="253"/>
        </w:trPr>
        <w:tc>
          <w:tcPr>
            <w:tcW w:w="1641" w:type="pct"/>
            <w:tcBorders>
              <w:top w:val="single" w:sz="4" w:space="0" w:color="AEAEAE"/>
              <w:left w:val="single" w:sz="4" w:space="0" w:color="auto"/>
              <w:bottom w:val="single" w:sz="4" w:space="0" w:color="auto"/>
              <w:right w:val="nil"/>
            </w:tcBorders>
            <w:shd w:val="clear" w:color="auto" w:fill="auto"/>
            <w:tcMar>
              <w:top w:w="12" w:type="dxa"/>
              <w:left w:w="12" w:type="dxa"/>
              <w:bottom w:w="0" w:type="dxa"/>
              <w:right w:w="12" w:type="dxa"/>
            </w:tcMar>
            <w:vAlign w:val="center"/>
            <w:hideMark/>
          </w:tcPr>
          <w:p w:rsidR="00074DC4" w:rsidRPr="00561874" w:rsidRDefault="00074DC4" w:rsidP="00C65BE3">
            <w:pPr>
              <w:rPr>
                <w:b/>
                <w:bCs/>
                <w:sz w:val="20"/>
                <w:szCs w:val="20"/>
              </w:rPr>
            </w:pPr>
            <w:r w:rsidRPr="00561874">
              <w:rPr>
                <w:b/>
                <w:bCs/>
                <w:sz w:val="20"/>
                <w:szCs w:val="20"/>
              </w:rPr>
              <w:t> Celkem</w:t>
            </w:r>
          </w:p>
        </w:tc>
        <w:tc>
          <w:tcPr>
            <w:tcW w:w="1384" w:type="pct"/>
            <w:tcBorders>
              <w:top w:val="single" w:sz="4" w:space="0" w:color="AEAEAE"/>
              <w:left w:val="nil"/>
              <w:bottom w:val="single" w:sz="4" w:space="0" w:color="auto"/>
              <w:right w:val="single" w:sz="4" w:space="0" w:color="E0E0E0"/>
            </w:tcBorders>
            <w:shd w:val="clear" w:color="auto" w:fill="auto"/>
            <w:tcMar>
              <w:top w:w="12" w:type="dxa"/>
              <w:left w:w="12" w:type="dxa"/>
              <w:bottom w:w="0" w:type="dxa"/>
              <w:right w:w="12" w:type="dxa"/>
            </w:tcMar>
            <w:vAlign w:val="center"/>
            <w:hideMark/>
          </w:tcPr>
          <w:p w:rsidR="00074DC4" w:rsidRPr="00561874" w:rsidRDefault="00074DC4" w:rsidP="00C65BE3">
            <w:pPr>
              <w:jc w:val="center"/>
              <w:rPr>
                <w:b/>
                <w:bCs/>
                <w:sz w:val="20"/>
                <w:szCs w:val="20"/>
              </w:rPr>
            </w:pPr>
            <w:r w:rsidRPr="00561874">
              <w:rPr>
                <w:b/>
                <w:bCs/>
                <w:sz w:val="20"/>
                <w:szCs w:val="20"/>
              </w:rPr>
              <w:t>2 311</w:t>
            </w:r>
          </w:p>
        </w:tc>
        <w:tc>
          <w:tcPr>
            <w:tcW w:w="1280" w:type="pct"/>
            <w:tcBorders>
              <w:top w:val="single" w:sz="4" w:space="0" w:color="AEAEAE"/>
              <w:left w:val="single" w:sz="4" w:space="0" w:color="E0E0E0"/>
              <w:bottom w:val="single" w:sz="4" w:space="0" w:color="auto"/>
              <w:right w:val="single" w:sz="4" w:space="0" w:color="E0E0E0"/>
            </w:tcBorders>
            <w:shd w:val="clear" w:color="auto" w:fill="auto"/>
            <w:tcMar>
              <w:top w:w="12" w:type="dxa"/>
              <w:left w:w="12" w:type="dxa"/>
              <w:bottom w:w="0" w:type="dxa"/>
              <w:right w:w="12" w:type="dxa"/>
            </w:tcMar>
            <w:vAlign w:val="center"/>
            <w:hideMark/>
          </w:tcPr>
          <w:p w:rsidR="00074DC4" w:rsidRPr="00561874" w:rsidRDefault="00074DC4" w:rsidP="00C65BE3">
            <w:pPr>
              <w:jc w:val="center"/>
              <w:rPr>
                <w:b/>
                <w:bCs/>
                <w:sz w:val="20"/>
                <w:szCs w:val="20"/>
              </w:rPr>
            </w:pPr>
            <w:r w:rsidRPr="00561874">
              <w:rPr>
                <w:b/>
                <w:bCs/>
                <w:sz w:val="20"/>
                <w:szCs w:val="20"/>
              </w:rPr>
              <w:t>2 282</w:t>
            </w:r>
          </w:p>
        </w:tc>
        <w:tc>
          <w:tcPr>
            <w:tcW w:w="695" w:type="pct"/>
            <w:tcBorders>
              <w:top w:val="single" w:sz="4" w:space="0" w:color="AEAEAE"/>
              <w:left w:val="single" w:sz="4" w:space="0" w:color="E0E0E0"/>
              <w:bottom w:val="single" w:sz="4" w:space="0" w:color="auto"/>
              <w:right w:val="single" w:sz="4" w:space="0" w:color="auto"/>
            </w:tcBorders>
            <w:shd w:val="clear" w:color="auto" w:fill="auto"/>
            <w:tcMar>
              <w:top w:w="12" w:type="dxa"/>
              <w:left w:w="12" w:type="dxa"/>
              <w:bottom w:w="0" w:type="dxa"/>
              <w:right w:w="12" w:type="dxa"/>
            </w:tcMar>
            <w:vAlign w:val="center"/>
            <w:hideMark/>
          </w:tcPr>
          <w:p w:rsidR="00074DC4" w:rsidRPr="00561874" w:rsidRDefault="00074DC4" w:rsidP="00C65BE3">
            <w:pPr>
              <w:jc w:val="center"/>
              <w:rPr>
                <w:b/>
                <w:bCs/>
                <w:sz w:val="20"/>
                <w:szCs w:val="20"/>
              </w:rPr>
            </w:pPr>
            <w:r w:rsidRPr="00561874">
              <w:rPr>
                <w:b/>
                <w:bCs/>
                <w:sz w:val="20"/>
                <w:szCs w:val="20"/>
              </w:rPr>
              <w:t>4 593</w:t>
            </w:r>
          </w:p>
        </w:tc>
      </w:tr>
    </w:tbl>
    <w:p w:rsidR="00074DC4" w:rsidRDefault="00074DC4" w:rsidP="00074DC4">
      <w:pPr>
        <w:rPr>
          <w:szCs w:val="24"/>
        </w:rPr>
      </w:pPr>
    </w:p>
    <w:p w:rsidR="00074DC4" w:rsidRDefault="00074DC4" w:rsidP="00074DC4">
      <w:pPr>
        <w:rPr>
          <w:szCs w:val="24"/>
        </w:rPr>
      </w:pPr>
      <w:r>
        <w:rPr>
          <w:szCs w:val="24"/>
        </w:rPr>
        <w:t>Na datovém souboru byly analyzovány následující finanční charakteristiky.</w:t>
      </w:r>
    </w:p>
    <w:p w:rsidR="000E79E9" w:rsidRDefault="000E79E9" w:rsidP="00074DC4">
      <w:pPr>
        <w:rPr>
          <w:szCs w:val="24"/>
        </w:rPr>
      </w:pPr>
    </w:p>
    <w:p w:rsidR="00525617" w:rsidRDefault="00525617" w:rsidP="00074DC4">
      <w:pPr>
        <w:rPr>
          <w:szCs w:val="24"/>
        </w:rPr>
      </w:pPr>
    </w:p>
    <w:p w:rsidR="00074DC4" w:rsidRPr="00446216" w:rsidRDefault="00074DC4" w:rsidP="00B370E5">
      <w:pPr>
        <w:pStyle w:val="Nadpis3"/>
        <w:numPr>
          <w:ilvl w:val="2"/>
          <w:numId w:val="15"/>
        </w:numPr>
      </w:pPr>
      <w:bookmarkStart w:id="128" w:name="_Toc31054475"/>
      <w:r w:rsidRPr="00B370E5">
        <w:lastRenderedPageBreak/>
        <w:t>Polarity</w:t>
      </w:r>
      <w:r w:rsidRPr="00446216">
        <w:t xml:space="preserve"> vybraných ukazatelů</w:t>
      </w:r>
      <w:bookmarkEnd w:id="128"/>
    </w:p>
    <w:p w:rsidR="00525617" w:rsidRDefault="00525617" w:rsidP="00074DC4"/>
    <w:p w:rsidR="00074DC4" w:rsidRDefault="00074DC4" w:rsidP="00074DC4">
      <w:r w:rsidRPr="006E45A9">
        <w:t>V datovém souboru byly</w:t>
      </w:r>
      <w:r>
        <w:t xml:space="preserve"> </w:t>
      </w:r>
      <w:r w:rsidRPr="006E45A9">
        <w:t xml:space="preserve">identifikovány proměnné, u kterých má určitou vypovídací schopnost jejich polarita, tedy skutečnost, zda jsou kladné či záporné. Z těchto proměnných byly pro potřeby analýzy vytvořeny </w:t>
      </w:r>
      <w:r w:rsidRPr="006E45A9">
        <w:rPr>
          <w:b/>
        </w:rPr>
        <w:t>dichotomické binární proměnné</w:t>
      </w:r>
      <w:r>
        <w:rPr>
          <w:b/>
        </w:rPr>
        <w:t xml:space="preserve"> </w:t>
      </w:r>
      <w:r w:rsidRPr="00983760">
        <w:rPr>
          <w:bCs/>
        </w:rPr>
        <w:t>(polarity)</w:t>
      </w:r>
      <w:r w:rsidRPr="006E45A9">
        <w:t xml:space="preserve">. V případě, že původní proměnná je záporná, nabude příslušná dichotomická proměnná hodnotu </w:t>
      </w:r>
      <w:r>
        <w:t>jedna</w:t>
      </w:r>
      <w:r w:rsidRPr="006E45A9">
        <w:t xml:space="preserve">, pokud je původní proměnná kladná, nabude příslušná dichotomická proměnná hodnotu </w:t>
      </w:r>
      <w:r>
        <w:t>nula</w:t>
      </w:r>
      <w:r w:rsidRPr="006E45A9">
        <w:t>.</w:t>
      </w:r>
      <w:r>
        <w:t xml:space="preserve"> Tímto postupem byly získány následující polarity.</w:t>
      </w:r>
    </w:p>
    <w:p w:rsidR="00074DC4" w:rsidRDefault="00074DC4" w:rsidP="005A5A62">
      <w:pPr>
        <w:pStyle w:val="Odstavecseseznamem"/>
        <w:numPr>
          <w:ilvl w:val="0"/>
          <w:numId w:val="4"/>
        </w:numPr>
        <w:spacing w:after="200" w:line="276" w:lineRule="auto"/>
      </w:pPr>
      <w:r>
        <w:t>Polarita úrovní tvorby zisku, a to:</w:t>
      </w:r>
    </w:p>
    <w:p w:rsidR="00074DC4" w:rsidRDefault="00074DC4" w:rsidP="005A5A62">
      <w:pPr>
        <w:pStyle w:val="Odstavecseseznamem"/>
        <w:numPr>
          <w:ilvl w:val="0"/>
          <w:numId w:val="5"/>
        </w:numPr>
        <w:spacing w:after="200" w:line="276" w:lineRule="auto"/>
      </w:pPr>
      <w:r>
        <w:t>Polarity přidané hodnoty</w:t>
      </w:r>
    </w:p>
    <w:p w:rsidR="00074DC4" w:rsidRDefault="00074DC4" w:rsidP="005A5A62">
      <w:pPr>
        <w:pStyle w:val="Odstavecseseznamem"/>
        <w:numPr>
          <w:ilvl w:val="0"/>
          <w:numId w:val="5"/>
        </w:numPr>
        <w:spacing w:after="200" w:line="276" w:lineRule="auto"/>
      </w:pPr>
      <w:r>
        <w:t>Polarita primární EBITDA</w:t>
      </w:r>
    </w:p>
    <w:p w:rsidR="00074DC4" w:rsidRDefault="00074DC4" w:rsidP="005A5A62">
      <w:pPr>
        <w:pStyle w:val="Odstavecseseznamem"/>
        <w:numPr>
          <w:ilvl w:val="0"/>
          <w:numId w:val="5"/>
        </w:numPr>
        <w:spacing w:after="200" w:line="276" w:lineRule="auto"/>
      </w:pPr>
      <w:r>
        <w:t>Polarita provozní EBITDA</w:t>
      </w:r>
    </w:p>
    <w:p w:rsidR="00074DC4" w:rsidRDefault="00074DC4" w:rsidP="005A5A62">
      <w:pPr>
        <w:pStyle w:val="Odstavecseseznamem"/>
        <w:numPr>
          <w:ilvl w:val="0"/>
          <w:numId w:val="5"/>
        </w:numPr>
        <w:spacing w:after="200" w:line="276" w:lineRule="auto"/>
      </w:pPr>
      <w:r>
        <w:t>Polarita celkové EBITDA</w:t>
      </w:r>
    </w:p>
    <w:p w:rsidR="00074DC4" w:rsidRDefault="00074DC4" w:rsidP="005A5A62">
      <w:pPr>
        <w:pStyle w:val="Odstavecseseznamem"/>
        <w:numPr>
          <w:ilvl w:val="0"/>
          <w:numId w:val="5"/>
        </w:numPr>
        <w:spacing w:after="200" w:line="276" w:lineRule="auto"/>
      </w:pPr>
      <w:r>
        <w:t>Polarita EBIT</w:t>
      </w:r>
    </w:p>
    <w:p w:rsidR="00074DC4" w:rsidRDefault="00074DC4" w:rsidP="005A5A62">
      <w:pPr>
        <w:pStyle w:val="Odstavecseseznamem"/>
        <w:numPr>
          <w:ilvl w:val="0"/>
          <w:numId w:val="4"/>
        </w:numPr>
        <w:spacing w:after="200" w:line="276" w:lineRule="auto"/>
      </w:pPr>
      <w:r>
        <w:t>Polarity ukazatelů likvidity a pracovního kapitálu, a to</w:t>
      </w:r>
    </w:p>
    <w:p w:rsidR="00074DC4" w:rsidRDefault="00074DC4" w:rsidP="005A5A62">
      <w:pPr>
        <w:pStyle w:val="Odstavecseseznamem"/>
        <w:numPr>
          <w:ilvl w:val="0"/>
          <w:numId w:val="6"/>
        </w:numPr>
        <w:spacing w:after="200" w:line="276" w:lineRule="auto"/>
      </w:pPr>
      <w:r>
        <w:t>Deficit nutné hotovosti při 15% požadavku na úroveň ukazatele okamžité likvidity</w:t>
      </w:r>
    </w:p>
    <w:p w:rsidR="00074DC4" w:rsidRDefault="00074DC4" w:rsidP="005A5A62">
      <w:pPr>
        <w:pStyle w:val="Odstavecseseznamem"/>
        <w:numPr>
          <w:ilvl w:val="0"/>
          <w:numId w:val="6"/>
        </w:numPr>
        <w:spacing w:after="200" w:line="276" w:lineRule="auto"/>
      </w:pPr>
      <w:r>
        <w:t>Polarita salda (rozdílu) aktivních a pasivních primárních NSPK</w:t>
      </w:r>
    </w:p>
    <w:p w:rsidR="00074DC4" w:rsidRDefault="00074DC4" w:rsidP="005A5A62">
      <w:pPr>
        <w:pStyle w:val="Odstavecseseznamem"/>
        <w:numPr>
          <w:ilvl w:val="0"/>
          <w:numId w:val="6"/>
        </w:numPr>
        <w:spacing w:after="200" w:line="276" w:lineRule="auto"/>
      </w:pPr>
      <w:r w:rsidRPr="00904EEA">
        <w:t xml:space="preserve">Polarita salda (rozdílu) aktivních a pasivních </w:t>
      </w:r>
      <w:r>
        <w:t>celkových</w:t>
      </w:r>
      <w:r w:rsidRPr="00904EEA">
        <w:t xml:space="preserve"> </w:t>
      </w:r>
      <w:r>
        <w:t>NSPK</w:t>
      </w:r>
    </w:p>
    <w:p w:rsidR="00074DC4" w:rsidRDefault="00074DC4" w:rsidP="005A5A62">
      <w:pPr>
        <w:pStyle w:val="Odstavecseseznamem"/>
        <w:numPr>
          <w:ilvl w:val="0"/>
          <w:numId w:val="4"/>
        </w:numPr>
        <w:spacing w:after="200" w:line="276" w:lineRule="auto"/>
      </w:pPr>
      <w:r>
        <w:t>Polarita ukazatelů kapitálové struktury a financování dlouhodobého majetku</w:t>
      </w:r>
    </w:p>
    <w:p w:rsidR="00074DC4" w:rsidRDefault="00074DC4" w:rsidP="005A5A62">
      <w:pPr>
        <w:pStyle w:val="Odstavecseseznamem"/>
        <w:numPr>
          <w:ilvl w:val="0"/>
          <w:numId w:val="7"/>
        </w:numPr>
        <w:spacing w:after="200" w:line="276" w:lineRule="auto"/>
      </w:pPr>
      <w:r>
        <w:t>Polarita vlastního kapitálu</w:t>
      </w:r>
    </w:p>
    <w:p w:rsidR="00074DC4" w:rsidRDefault="00074DC4" w:rsidP="005A5A62">
      <w:pPr>
        <w:pStyle w:val="Odstavecseseznamem"/>
        <w:numPr>
          <w:ilvl w:val="0"/>
          <w:numId w:val="7"/>
        </w:numPr>
        <w:spacing w:after="200" w:line="276" w:lineRule="auto"/>
      </w:pPr>
      <w:r>
        <w:t>Polarita financování dlouhodobého majetku, tj. polarita rozdílu dlouhodobého kapitálu a dlouhodobého majetku</w:t>
      </w:r>
    </w:p>
    <w:p w:rsidR="00525617" w:rsidRDefault="00525617" w:rsidP="00074DC4">
      <w:pPr>
        <w:rPr>
          <w:b/>
          <w:bCs/>
        </w:rPr>
      </w:pPr>
    </w:p>
    <w:p w:rsidR="00074DC4" w:rsidRPr="00446216" w:rsidRDefault="00074DC4" w:rsidP="00B370E5">
      <w:pPr>
        <w:pStyle w:val="Nadpis3"/>
        <w:numPr>
          <w:ilvl w:val="2"/>
          <w:numId w:val="15"/>
        </w:numPr>
      </w:pPr>
      <w:bookmarkStart w:id="129" w:name="_Toc31054476"/>
      <w:r w:rsidRPr="00446216">
        <w:t>Kategorie poměrových ukazatelů</w:t>
      </w:r>
      <w:bookmarkEnd w:id="129"/>
    </w:p>
    <w:p w:rsidR="00525617" w:rsidRDefault="00525617" w:rsidP="00074DC4"/>
    <w:p w:rsidR="00074DC4" w:rsidRDefault="00074DC4" w:rsidP="00074DC4">
      <w:r>
        <w:t>Kategorie poměrových ukazatelů byly vytvořeny na základě následujících původních poměrových ukazatelů.</w:t>
      </w:r>
    </w:p>
    <w:p w:rsidR="00074DC4" w:rsidRDefault="00074DC4" w:rsidP="00074DC4">
      <w:r>
        <w:t>Marže (stanovené z výkonů)</w:t>
      </w:r>
    </w:p>
    <w:p w:rsidR="00074DC4" w:rsidRDefault="00074DC4" w:rsidP="005A5A62">
      <w:pPr>
        <w:pStyle w:val="Odstavecseseznamem"/>
        <w:numPr>
          <w:ilvl w:val="0"/>
          <w:numId w:val="9"/>
        </w:numPr>
        <w:spacing w:after="200" w:line="276" w:lineRule="auto"/>
      </w:pPr>
      <w:r>
        <w:t>Marže přidané hodnoty, stanovená jako podíl přidané hodnoty na výkonech, kde přidaná hodnota představuje výkony po odečtu výkonové spotřeby</w:t>
      </w:r>
    </w:p>
    <w:p w:rsidR="00074DC4" w:rsidRDefault="00074DC4" w:rsidP="005A5A62">
      <w:pPr>
        <w:pStyle w:val="Odstavecseseznamem"/>
        <w:numPr>
          <w:ilvl w:val="0"/>
          <w:numId w:val="9"/>
        </w:numPr>
        <w:spacing w:after="200" w:line="276" w:lineRule="auto"/>
      </w:pPr>
      <w:r>
        <w:t>Marže primární EBITDA, stanovená jako podíl primární EBITDA na výkonech, kde primární EBITDA představuje (stejně jako u moratorií) výkony po odečtu výkonové spotřeby a osobních nákladů</w:t>
      </w:r>
    </w:p>
    <w:p w:rsidR="00074DC4" w:rsidRDefault="00074DC4" w:rsidP="005A5A62">
      <w:pPr>
        <w:pStyle w:val="Odstavecseseznamem"/>
        <w:numPr>
          <w:ilvl w:val="0"/>
          <w:numId w:val="9"/>
        </w:numPr>
        <w:spacing w:after="200" w:line="276" w:lineRule="auto"/>
      </w:pPr>
      <w:r>
        <w:t xml:space="preserve">Marže provozní EBITDA, stanovená jako podíl provozní EBITDA na výkonech, kde </w:t>
      </w:r>
      <w:r w:rsidRPr="007776DA">
        <w:t>provozní EBITDA představuje</w:t>
      </w:r>
      <w:r>
        <w:t xml:space="preserve"> výkony po odečtu výkonové spotřeby, osobních nákladů, ostatních provozních nákladů a přičtení ostatních provozních výnosů</w:t>
      </w:r>
    </w:p>
    <w:p w:rsidR="00074DC4" w:rsidRDefault="00074DC4" w:rsidP="005A5A62">
      <w:pPr>
        <w:pStyle w:val="Odstavecseseznamem"/>
        <w:numPr>
          <w:ilvl w:val="0"/>
          <w:numId w:val="9"/>
        </w:numPr>
        <w:spacing w:after="200" w:line="276" w:lineRule="auto"/>
      </w:pPr>
      <w:r>
        <w:t>Marže EBITDA, stanovená jako podíl EBITDA na výkonech, kde EBITDA představuje výsledek hospodaření zvýšený o nákladové úroky, daně odpisy a tvorbu opravných položek.</w:t>
      </w:r>
    </w:p>
    <w:p w:rsidR="00074DC4" w:rsidRDefault="00074DC4" w:rsidP="00074DC4">
      <w:r>
        <w:lastRenderedPageBreak/>
        <w:t>Ukazatele likvidity a pracovního kapitálu</w:t>
      </w:r>
    </w:p>
    <w:p w:rsidR="00074DC4" w:rsidRDefault="00074DC4" w:rsidP="005A5A62">
      <w:pPr>
        <w:pStyle w:val="Odstavecseseznamem"/>
        <w:numPr>
          <w:ilvl w:val="0"/>
          <w:numId w:val="10"/>
        </w:numPr>
        <w:spacing w:after="200" w:line="276" w:lineRule="auto"/>
      </w:pPr>
      <w:r>
        <w:t>Podíl hotovosti na nutné hotovosti při 15% požadavku na úroveň ukazatele okamžité (peněžní) likvidity</w:t>
      </w:r>
    </w:p>
    <w:p w:rsidR="00074DC4" w:rsidRDefault="00074DC4" w:rsidP="005A5A62">
      <w:pPr>
        <w:pStyle w:val="Odstavecseseznamem"/>
        <w:numPr>
          <w:ilvl w:val="0"/>
          <w:numId w:val="10"/>
        </w:numPr>
        <w:spacing w:after="200" w:line="276" w:lineRule="auto"/>
      </w:pPr>
      <w:r>
        <w:t>Podíl aktivních a pasivních primárních NSPK, kde aktivní NSPK představují zásoby a obchodní pohledávky a pasivní NSPK obchodní závazky a závazky z osobních nákladů</w:t>
      </w:r>
    </w:p>
    <w:p w:rsidR="00074DC4" w:rsidRDefault="00074DC4" w:rsidP="005A5A62">
      <w:pPr>
        <w:pStyle w:val="Odstavecseseznamem"/>
        <w:numPr>
          <w:ilvl w:val="0"/>
          <w:numId w:val="10"/>
        </w:numPr>
        <w:spacing w:after="200" w:line="276" w:lineRule="auto"/>
      </w:pPr>
      <w:r>
        <w:t>Podíl celkových aktivních a pasivních NSPK, kde celkové aktivní NSPK zahrnují zásoby a veškeré pohledávky a pasivní NSPK veškeré krátkodobé závazky.</w:t>
      </w:r>
    </w:p>
    <w:p w:rsidR="00074DC4" w:rsidRDefault="00074DC4" w:rsidP="00074DC4">
      <w:r>
        <w:t>Ukazatele zadlužení a majetkové a kapitálové struktury</w:t>
      </w:r>
    </w:p>
    <w:p w:rsidR="00074DC4" w:rsidRDefault="00074DC4" w:rsidP="005A5A62">
      <w:pPr>
        <w:pStyle w:val="Odstavecseseznamem"/>
        <w:numPr>
          <w:ilvl w:val="0"/>
          <w:numId w:val="11"/>
        </w:numPr>
        <w:spacing w:after="200" w:line="276" w:lineRule="auto"/>
      </w:pPr>
      <w:r>
        <w:t>Ukazatel celkové zadluženosti, který představuje podíl cizích zdrojů na aktivech a je základním ukazatelem kapitálové struktury</w:t>
      </w:r>
    </w:p>
    <w:p w:rsidR="00074DC4" w:rsidRPr="00C727E6" w:rsidRDefault="00074DC4" w:rsidP="005A5A62">
      <w:pPr>
        <w:pStyle w:val="Odstavecseseznamem"/>
        <w:numPr>
          <w:ilvl w:val="0"/>
          <w:numId w:val="11"/>
        </w:numPr>
        <w:spacing w:after="200" w:line="276" w:lineRule="auto"/>
      </w:pPr>
      <w:r w:rsidRPr="00C727E6">
        <w:t>Podíl dlouhodobého majetku na aktivech, který představuje v zásadě investiční náročnost</w:t>
      </w:r>
    </w:p>
    <w:p w:rsidR="00074DC4" w:rsidRDefault="00074DC4" w:rsidP="00074DC4">
      <w:r>
        <w:t>Ukazatele rentability aktiv</w:t>
      </w:r>
    </w:p>
    <w:p w:rsidR="00074DC4" w:rsidRDefault="00074DC4" w:rsidP="005A5A62">
      <w:pPr>
        <w:pStyle w:val="Odstavecseseznamem"/>
        <w:numPr>
          <w:ilvl w:val="0"/>
          <w:numId w:val="12"/>
        </w:numPr>
        <w:spacing w:after="200" w:line="276" w:lineRule="auto"/>
      </w:pPr>
      <w:r>
        <w:t>Rentabilita aktiv měřená úrovní primární EBITDA, která představuje podíl primární EBITDA a celkových aktiv a je ukazatelem primární provozní rentability</w:t>
      </w:r>
    </w:p>
    <w:p w:rsidR="00074DC4" w:rsidRPr="007E25AA" w:rsidRDefault="00074DC4" w:rsidP="005A5A62">
      <w:pPr>
        <w:pStyle w:val="Odstavecseseznamem"/>
        <w:numPr>
          <w:ilvl w:val="0"/>
          <w:numId w:val="12"/>
        </w:numPr>
        <w:spacing w:after="200" w:line="276" w:lineRule="auto"/>
      </w:pPr>
      <w:r>
        <w:t>Rentabilita aktiv měřená úrovní EBITDA, která představuje podíl EBITDA a celkových aktiv a je ukazatelem rentability bez vlivu daní, nákladů cizího kapitálu a opravných položek a rezerv</w:t>
      </w:r>
    </w:p>
    <w:p w:rsidR="00074DC4" w:rsidRDefault="00074DC4" w:rsidP="005A5A62">
      <w:pPr>
        <w:pStyle w:val="Odstavecseseznamem"/>
        <w:numPr>
          <w:ilvl w:val="0"/>
          <w:numId w:val="12"/>
        </w:numPr>
        <w:spacing w:after="200" w:line="276" w:lineRule="auto"/>
      </w:pPr>
      <w:r>
        <w:t>Rentabilita aktiv měřená úrovní EBIT, která představuje podíl EBIT a celkových aktiv a je ukazatelem rentability bez vlivu daní a nákladů cizího kapitálu</w:t>
      </w:r>
    </w:p>
    <w:p w:rsidR="00074DC4" w:rsidRDefault="00074DC4" w:rsidP="00074DC4">
      <w:r>
        <w:t>Ukazatele doby obratu nepeněžních složek pracovního kapitálu</w:t>
      </w:r>
    </w:p>
    <w:p w:rsidR="00074DC4" w:rsidRDefault="00074DC4" w:rsidP="005A5A62">
      <w:pPr>
        <w:pStyle w:val="Odstavecseseznamem"/>
        <w:numPr>
          <w:ilvl w:val="0"/>
          <w:numId w:val="13"/>
        </w:numPr>
        <w:spacing w:after="200" w:line="276" w:lineRule="auto"/>
      </w:pPr>
      <w:r>
        <w:t>Doba obratu zásob, stanovená jako podíl zásob a denních výkonů</w:t>
      </w:r>
    </w:p>
    <w:p w:rsidR="00074DC4" w:rsidRDefault="00074DC4" w:rsidP="005A5A62">
      <w:pPr>
        <w:pStyle w:val="Odstavecseseznamem"/>
        <w:numPr>
          <w:ilvl w:val="0"/>
          <w:numId w:val="13"/>
        </w:numPr>
        <w:spacing w:after="200" w:line="276" w:lineRule="auto"/>
      </w:pPr>
      <w:r>
        <w:t>Doba obratu pohledávek, stanovená jako podíl pohledávek a denních výkonů</w:t>
      </w:r>
    </w:p>
    <w:p w:rsidR="00074DC4" w:rsidRDefault="00074DC4" w:rsidP="005A5A62">
      <w:pPr>
        <w:pStyle w:val="Odstavecseseznamem"/>
        <w:numPr>
          <w:ilvl w:val="0"/>
          <w:numId w:val="13"/>
        </w:numPr>
        <w:spacing w:after="200" w:line="276" w:lineRule="auto"/>
      </w:pPr>
      <w:r>
        <w:t>Doba obratu závazků, stanovená jako podíl krátkodobých závazků a denních výkonů</w:t>
      </w:r>
    </w:p>
    <w:p w:rsidR="00074DC4" w:rsidRDefault="00074DC4" w:rsidP="00074DC4">
      <w:r>
        <w:t>Vzhledem k tomu, že tyto ukazatele obsahují odlehlé a extrémní hodnoty, byly na jejich základě vytvořeny proměnné kategoriální ordinální. Pomocí intervalového třídění bylo vytvořeno 11 kategorií těchto ukazatelů, když počet intervalů byl stanoven na základě Sturgesova pravidla. Kategoriální škála byla zvolena tak, že čím vyšší kategorie, tím lepší hodnota příslušného ukazatele. Tím došlo k nahrazení původních ukazatelů ve tvaru kvantitativních spojitých proměnných právě již zmíněnými proměnnými kategoriálními ordinálními, čímž došlo zejména k eliminaci extrémních a odlehlých hodnot, které staly součástí první a poslední kategorie. Takto vytvořené kategoriální proměnné byly analyzovány ve smyslu jejich diskriminačního potenciálu, tj. potenciální schopnosti odlišovat úpadkové a bezproblémové podniky.</w:t>
      </w:r>
    </w:p>
    <w:p w:rsidR="00074DC4" w:rsidRDefault="00074DC4" w:rsidP="00074DC4">
      <w:r>
        <w:t>Na základě výše popsaného postupu byly vytvořeny následující proměnné</w:t>
      </w:r>
    </w:p>
    <w:p w:rsidR="00074DC4" w:rsidRDefault="00074DC4" w:rsidP="005A5A62">
      <w:pPr>
        <w:pStyle w:val="Odstavecseseznamem"/>
        <w:numPr>
          <w:ilvl w:val="0"/>
          <w:numId w:val="8"/>
        </w:numPr>
        <w:spacing w:before="120" w:after="240" w:line="276" w:lineRule="auto"/>
      </w:pPr>
      <w:r>
        <w:t xml:space="preserve">Kategorie (interval) marže přidané hodnoty </w:t>
      </w:r>
    </w:p>
    <w:p w:rsidR="00074DC4" w:rsidRDefault="00074DC4" w:rsidP="005A5A62">
      <w:pPr>
        <w:pStyle w:val="Odstavecseseznamem"/>
        <w:numPr>
          <w:ilvl w:val="0"/>
          <w:numId w:val="8"/>
        </w:numPr>
        <w:spacing w:before="120" w:after="240" w:line="276" w:lineRule="auto"/>
      </w:pPr>
      <w:r>
        <w:t xml:space="preserve">Kategorie (interval) marže primární EBITDA </w:t>
      </w:r>
    </w:p>
    <w:p w:rsidR="00074DC4" w:rsidRDefault="00074DC4" w:rsidP="005A5A62">
      <w:pPr>
        <w:pStyle w:val="Odstavecseseznamem"/>
        <w:numPr>
          <w:ilvl w:val="0"/>
          <w:numId w:val="8"/>
        </w:numPr>
        <w:spacing w:before="120" w:after="240" w:line="276" w:lineRule="auto"/>
      </w:pPr>
      <w:r>
        <w:t xml:space="preserve">Kategorie (interval) marže provozní EBITDA </w:t>
      </w:r>
    </w:p>
    <w:p w:rsidR="00074DC4" w:rsidRDefault="00074DC4" w:rsidP="005A5A62">
      <w:pPr>
        <w:pStyle w:val="Odstavecseseznamem"/>
        <w:numPr>
          <w:ilvl w:val="0"/>
          <w:numId w:val="8"/>
        </w:numPr>
        <w:spacing w:before="120" w:after="240" w:line="276" w:lineRule="auto"/>
      </w:pPr>
      <w:r>
        <w:lastRenderedPageBreak/>
        <w:t xml:space="preserve">Kategorie (interval) marže EBITDA </w:t>
      </w:r>
    </w:p>
    <w:p w:rsidR="00074DC4" w:rsidRDefault="00074DC4" w:rsidP="005A5A62">
      <w:pPr>
        <w:pStyle w:val="Odstavecseseznamem"/>
        <w:numPr>
          <w:ilvl w:val="0"/>
          <w:numId w:val="8"/>
        </w:numPr>
        <w:spacing w:before="120" w:after="240" w:line="276" w:lineRule="auto"/>
      </w:pPr>
      <w:r>
        <w:t xml:space="preserve">Kategorie (interval) podílu hotovosti na nutné hotovosti </w:t>
      </w:r>
    </w:p>
    <w:p w:rsidR="00074DC4" w:rsidRDefault="00074DC4" w:rsidP="005A5A62">
      <w:pPr>
        <w:pStyle w:val="Odstavecseseznamem"/>
        <w:numPr>
          <w:ilvl w:val="0"/>
          <w:numId w:val="8"/>
        </w:numPr>
        <w:spacing w:before="120" w:after="240" w:line="276" w:lineRule="auto"/>
      </w:pPr>
      <w:r>
        <w:t xml:space="preserve">Kategorie (interval) podílu primárních NSPK </w:t>
      </w:r>
    </w:p>
    <w:p w:rsidR="00074DC4" w:rsidRDefault="00074DC4" w:rsidP="005A5A62">
      <w:pPr>
        <w:pStyle w:val="Odstavecseseznamem"/>
        <w:numPr>
          <w:ilvl w:val="0"/>
          <w:numId w:val="8"/>
        </w:numPr>
        <w:spacing w:before="120" w:after="240" w:line="276" w:lineRule="auto"/>
      </w:pPr>
      <w:r>
        <w:t xml:space="preserve">Kategorie (interval) podílu NSPK </w:t>
      </w:r>
    </w:p>
    <w:p w:rsidR="00074DC4" w:rsidRDefault="00074DC4" w:rsidP="005A5A62">
      <w:pPr>
        <w:pStyle w:val="Odstavecseseznamem"/>
        <w:numPr>
          <w:ilvl w:val="0"/>
          <w:numId w:val="8"/>
        </w:numPr>
        <w:spacing w:before="120" w:after="240" w:line="276" w:lineRule="auto"/>
      </w:pPr>
      <w:r>
        <w:t xml:space="preserve">Kategorie (interval) celkové zadluženosti </w:t>
      </w:r>
    </w:p>
    <w:p w:rsidR="00074DC4" w:rsidRDefault="00074DC4" w:rsidP="005A5A62">
      <w:pPr>
        <w:pStyle w:val="Odstavecseseznamem"/>
        <w:numPr>
          <w:ilvl w:val="0"/>
          <w:numId w:val="8"/>
        </w:numPr>
        <w:spacing w:before="120" w:after="240" w:line="276" w:lineRule="auto"/>
      </w:pPr>
      <w:r>
        <w:t xml:space="preserve">Kategorie (interval) stupně krytí DIM </w:t>
      </w:r>
    </w:p>
    <w:p w:rsidR="00074DC4" w:rsidRDefault="00074DC4" w:rsidP="005A5A62">
      <w:pPr>
        <w:pStyle w:val="Odstavecseseznamem"/>
        <w:numPr>
          <w:ilvl w:val="0"/>
          <w:numId w:val="8"/>
        </w:numPr>
        <w:spacing w:before="120" w:after="240" w:line="276" w:lineRule="auto"/>
      </w:pPr>
      <w:r>
        <w:t xml:space="preserve">Kategorie (interval) podílu DIM na aktivech </w:t>
      </w:r>
    </w:p>
    <w:p w:rsidR="00074DC4" w:rsidRDefault="00074DC4" w:rsidP="005A5A62">
      <w:pPr>
        <w:pStyle w:val="Odstavecseseznamem"/>
        <w:numPr>
          <w:ilvl w:val="0"/>
          <w:numId w:val="8"/>
        </w:numPr>
        <w:spacing w:before="120" w:after="240" w:line="276" w:lineRule="auto"/>
      </w:pPr>
      <w:r>
        <w:t xml:space="preserve">Kategorie (interval) rentability aktiv – primární EBITDA </w:t>
      </w:r>
    </w:p>
    <w:p w:rsidR="00074DC4" w:rsidRDefault="00074DC4" w:rsidP="005A5A62">
      <w:pPr>
        <w:pStyle w:val="Odstavecseseznamem"/>
        <w:numPr>
          <w:ilvl w:val="0"/>
          <w:numId w:val="8"/>
        </w:numPr>
        <w:spacing w:before="120" w:after="240" w:line="276" w:lineRule="auto"/>
      </w:pPr>
      <w:r>
        <w:t xml:space="preserve">Kategorie (interval) rentability aktiv – EBITDA </w:t>
      </w:r>
    </w:p>
    <w:p w:rsidR="00074DC4" w:rsidRDefault="00074DC4" w:rsidP="005A5A62">
      <w:pPr>
        <w:pStyle w:val="Odstavecseseznamem"/>
        <w:numPr>
          <w:ilvl w:val="0"/>
          <w:numId w:val="8"/>
        </w:numPr>
        <w:spacing w:before="120" w:after="240" w:line="276" w:lineRule="auto"/>
      </w:pPr>
      <w:r>
        <w:t xml:space="preserve">Kategorie (interval) rentability aktiv – EBIT </w:t>
      </w:r>
    </w:p>
    <w:p w:rsidR="00074DC4" w:rsidRDefault="00074DC4" w:rsidP="005A5A62">
      <w:pPr>
        <w:pStyle w:val="Odstavecseseznamem"/>
        <w:numPr>
          <w:ilvl w:val="0"/>
          <w:numId w:val="8"/>
        </w:numPr>
        <w:spacing w:before="120" w:after="240" w:line="276" w:lineRule="auto"/>
      </w:pPr>
      <w:r>
        <w:t xml:space="preserve">Kategorie (interval) doby obratu zásob </w:t>
      </w:r>
    </w:p>
    <w:p w:rsidR="00074DC4" w:rsidRDefault="00074DC4" w:rsidP="005A5A62">
      <w:pPr>
        <w:pStyle w:val="Odstavecseseznamem"/>
        <w:numPr>
          <w:ilvl w:val="0"/>
          <w:numId w:val="8"/>
        </w:numPr>
        <w:spacing w:before="120" w:after="240" w:line="276" w:lineRule="auto"/>
      </w:pPr>
      <w:r>
        <w:t xml:space="preserve">Kategorie (interval) doby obratu pohledávek </w:t>
      </w:r>
    </w:p>
    <w:p w:rsidR="00074DC4" w:rsidRDefault="00074DC4" w:rsidP="005A5A62">
      <w:pPr>
        <w:pStyle w:val="Odstavecseseznamem"/>
        <w:numPr>
          <w:ilvl w:val="0"/>
          <w:numId w:val="8"/>
        </w:numPr>
        <w:spacing w:before="120" w:after="240" w:line="276" w:lineRule="auto"/>
      </w:pPr>
      <w:r>
        <w:t xml:space="preserve">Kategorie (interval) doby obratu závazků </w:t>
      </w:r>
    </w:p>
    <w:p w:rsidR="00074DC4" w:rsidRDefault="00074DC4" w:rsidP="00074DC4">
      <w:pPr>
        <w:rPr>
          <w:szCs w:val="24"/>
        </w:rPr>
      </w:pPr>
      <w:r>
        <w:rPr>
          <w:szCs w:val="24"/>
        </w:rPr>
        <w:t xml:space="preserve">Na základě výše uvedených kategorií (intervalů) poměrových ukazatelů byla provedena analýza, resp. porovnání úpadkových a bezproblémových podniků s cílem identifikovat diskriminační potenciál. Tato analýza byla provedena pomocí krabičkových grafů (boxplots). </w:t>
      </w:r>
    </w:p>
    <w:p w:rsidR="00074DC4" w:rsidRDefault="00074DC4" w:rsidP="00074DC4">
      <w:pPr>
        <w:rPr>
          <w:szCs w:val="24"/>
        </w:rPr>
      </w:pPr>
      <w:r>
        <w:t xml:space="preserve">Krabičkový graf je grafická metoda, která umožňuje analýzu dat pomocí kvartilů, což jsou hodnoty dělící soubor na čtyři části, z nichž každá obsahuje 25 % údajů. Graf sestává z krabičky a „vousů“. Je orientován vertikálně, takže potřebné údaje se </w:t>
      </w:r>
      <w:proofErr w:type="gramStart"/>
      <w:r>
        <w:t>zjišťují</w:t>
      </w:r>
      <w:proofErr w:type="gramEnd"/>
      <w:r>
        <w:t xml:space="preserve"> na vertikální ose Y. </w:t>
      </w:r>
      <w:proofErr w:type="gramStart"/>
      <w:r>
        <w:t>Jsou</w:t>
      </w:r>
      <w:proofErr w:type="gramEnd"/>
      <w:r>
        <w:t xml:space="preserve"> to především minimální a maximální hodnota, dané začátkem dolního a koncem horního vousu (to však platí pouze v případě, že neexistují odlehlé a extrémní hodnoty). Dále jsou v grafu zaznamenány dolní a horní kvartil, a to pomocí spodního a horního okraje krabičky a medián, reprezentovaný úsečkou uvnitř krabičky. Pokud nejsou v souboru odlehlé a extrémní hodnoty, pak lze říci, že v intervalu daném spodní a horní hranou krabičky (tj. dolním a horním kvartilem) se nachází 50 % hodnot, v intervalu od začátku dolního vousu ke spodní hraně krabičky 25 % hodnot a v intervalu od horní hrany krabičky ke konci horního vousu také 25 % hodnot Pomocí krabičkových grafů bylo analyzováno rozložení kategorií vybraných poměrových ukazatelů, tedy kategoriální ordinální proměnné, která nahrazuje v souboru původní kvantitativní spojitou proměnnou. Na tomto místě je vhodné připomenout, že kategorie vybraných poměrových ukazatelů byly stanoveny tak, že čím vyšší kategorie, tím lepší hodnota ukazatele. </w:t>
      </w:r>
    </w:p>
    <w:p w:rsidR="00BE4CF9" w:rsidRDefault="00BE4CF9" w:rsidP="00074DC4">
      <w:pPr>
        <w:rPr>
          <w:b/>
          <w:bCs/>
          <w:szCs w:val="24"/>
        </w:rPr>
      </w:pPr>
    </w:p>
    <w:p w:rsidR="00074DC4" w:rsidRDefault="00074DC4" w:rsidP="00B370E5">
      <w:pPr>
        <w:pStyle w:val="Nadpis3"/>
        <w:numPr>
          <w:ilvl w:val="2"/>
          <w:numId w:val="15"/>
        </w:numPr>
      </w:pPr>
      <w:bookmarkStart w:id="130" w:name="_Toc31054477"/>
      <w:r w:rsidRPr="00081203">
        <w:t>Mezera krytí</w:t>
      </w:r>
      <w:bookmarkEnd w:id="130"/>
    </w:p>
    <w:p w:rsidR="00074DC4" w:rsidRDefault="00074DC4" w:rsidP="00074DC4">
      <w:r>
        <w:t>Jak bylo mnohokrát uvedeno, mezera krytí představuje ekonomické kritérium platební neschopnosti, které je ukotveno v legislativě jak z hlediska její definice, tak z hlediska způsobu jejího stanovení. Proto byla provedena analýza mezery krytí u podniků, jejichž krize vyústila v úpadek s cílem zjistit, jaká byla u těchto podniků situace z tohoto pohledu. Analýza byla provedena na vzorku úpadkových podniků definovaném výše, u kterých byly dostupné údaje o závazcích po splatnosti.</w:t>
      </w:r>
    </w:p>
    <w:p w:rsidR="001545FF" w:rsidRDefault="001545FF" w:rsidP="00074DC4"/>
    <w:p w:rsidR="001545FF" w:rsidRDefault="001545FF" w:rsidP="001545FF">
      <w:pPr>
        <w:pStyle w:val="Titulek"/>
        <w:keepNext/>
      </w:pPr>
      <w:bookmarkStart w:id="131" w:name="_Toc31054826"/>
      <w:r>
        <w:lastRenderedPageBreak/>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50</w:t>
      </w:r>
      <w:r w:rsidR="00163A91">
        <w:rPr>
          <w:noProof/>
        </w:rPr>
        <w:fldChar w:fldCharType="end"/>
      </w:r>
      <w:r>
        <w:t xml:space="preserve"> Mezera krytí</w:t>
      </w:r>
      <w:bookmarkEnd w:id="131"/>
    </w:p>
    <w:tbl>
      <w:tblPr>
        <w:tblW w:w="5000" w:type="pct"/>
        <w:tblCellMar>
          <w:left w:w="70" w:type="dxa"/>
          <w:right w:w="70" w:type="dxa"/>
        </w:tblCellMar>
        <w:tblLook w:val="04A0"/>
      </w:tblPr>
      <w:tblGrid>
        <w:gridCol w:w="2824"/>
        <w:gridCol w:w="1063"/>
        <w:gridCol w:w="1067"/>
        <w:gridCol w:w="1065"/>
        <w:gridCol w:w="1065"/>
        <w:gridCol w:w="1065"/>
        <w:gridCol w:w="1063"/>
      </w:tblGrid>
      <w:tr w:rsidR="00074DC4" w:rsidRPr="00561874" w:rsidTr="001545FF">
        <w:trPr>
          <w:trHeight w:val="420"/>
        </w:trPr>
        <w:tc>
          <w:tcPr>
            <w:tcW w:w="1532" w:type="pct"/>
            <w:tcBorders>
              <w:top w:val="single" w:sz="4" w:space="0" w:color="auto"/>
              <w:left w:val="single" w:sz="4" w:space="0" w:color="auto"/>
              <w:bottom w:val="nil"/>
              <w:right w:val="nil"/>
            </w:tcBorders>
            <w:shd w:val="clear" w:color="auto" w:fill="auto"/>
            <w:vAlign w:val="bottom"/>
            <w:hideMark/>
          </w:tcPr>
          <w:p w:rsidR="00074DC4" w:rsidRPr="00561874" w:rsidRDefault="00074DC4" w:rsidP="00C65BE3">
            <w:pPr>
              <w:spacing w:after="0" w:line="240" w:lineRule="auto"/>
              <w:jc w:val="left"/>
              <w:rPr>
                <w:rFonts w:eastAsia="Times New Roman" w:cs="Arial"/>
                <w:sz w:val="20"/>
                <w:szCs w:val="20"/>
                <w:lang w:eastAsia="cs-CZ"/>
              </w:rPr>
            </w:pPr>
            <w:r w:rsidRPr="00561874">
              <w:rPr>
                <w:rFonts w:eastAsia="Times New Roman" w:cs="Arial"/>
                <w:sz w:val="20"/>
                <w:szCs w:val="20"/>
                <w:lang w:eastAsia="cs-CZ"/>
              </w:rPr>
              <w:t> </w:t>
            </w:r>
          </w:p>
        </w:tc>
        <w:tc>
          <w:tcPr>
            <w:tcW w:w="1156" w:type="pct"/>
            <w:gridSpan w:val="2"/>
            <w:tcBorders>
              <w:top w:val="single" w:sz="4" w:space="0" w:color="auto"/>
              <w:left w:val="single" w:sz="4" w:space="0" w:color="auto"/>
              <w:bottom w:val="single" w:sz="4" w:space="0" w:color="auto"/>
              <w:right w:val="nil"/>
            </w:tcBorders>
            <w:shd w:val="clear" w:color="auto" w:fill="auto"/>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Valid</w:t>
            </w:r>
          </w:p>
        </w:tc>
        <w:tc>
          <w:tcPr>
            <w:tcW w:w="1156" w:type="pct"/>
            <w:gridSpan w:val="2"/>
            <w:tcBorders>
              <w:top w:val="single" w:sz="4" w:space="0" w:color="auto"/>
              <w:left w:val="single" w:sz="4" w:space="0" w:color="E0E0E0"/>
              <w:bottom w:val="single" w:sz="4" w:space="0" w:color="auto"/>
              <w:right w:val="nil"/>
            </w:tcBorders>
            <w:shd w:val="clear" w:color="auto" w:fill="auto"/>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Missing</w:t>
            </w:r>
          </w:p>
        </w:tc>
        <w:tc>
          <w:tcPr>
            <w:tcW w:w="1155" w:type="pct"/>
            <w:gridSpan w:val="2"/>
            <w:tcBorders>
              <w:top w:val="single" w:sz="4" w:space="0" w:color="auto"/>
              <w:left w:val="single" w:sz="4" w:space="0" w:color="E0E0E0"/>
              <w:bottom w:val="single" w:sz="4" w:space="0" w:color="auto"/>
              <w:right w:val="single" w:sz="4" w:space="0" w:color="000000"/>
            </w:tcBorders>
            <w:shd w:val="clear" w:color="auto" w:fill="auto"/>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Total</w:t>
            </w:r>
          </w:p>
        </w:tc>
      </w:tr>
      <w:tr w:rsidR="00074DC4" w:rsidRPr="00561874" w:rsidTr="001545FF">
        <w:trPr>
          <w:trHeight w:val="420"/>
        </w:trPr>
        <w:tc>
          <w:tcPr>
            <w:tcW w:w="1532" w:type="pct"/>
            <w:tcBorders>
              <w:top w:val="nil"/>
              <w:left w:val="single" w:sz="4" w:space="0" w:color="auto"/>
              <w:bottom w:val="single" w:sz="4" w:space="0" w:color="152935"/>
              <w:right w:val="nil"/>
            </w:tcBorders>
            <w:shd w:val="clear" w:color="auto" w:fill="auto"/>
            <w:vAlign w:val="bottom"/>
            <w:hideMark/>
          </w:tcPr>
          <w:p w:rsidR="00074DC4" w:rsidRPr="00561874" w:rsidRDefault="00074DC4" w:rsidP="00C65BE3">
            <w:pPr>
              <w:spacing w:after="0" w:line="240" w:lineRule="auto"/>
              <w:jc w:val="left"/>
              <w:rPr>
                <w:rFonts w:eastAsia="Times New Roman" w:cs="Arial"/>
                <w:sz w:val="20"/>
                <w:szCs w:val="20"/>
                <w:lang w:eastAsia="cs-CZ"/>
              </w:rPr>
            </w:pPr>
            <w:r w:rsidRPr="00561874">
              <w:rPr>
                <w:rFonts w:eastAsia="Times New Roman" w:cs="Arial"/>
                <w:sz w:val="20"/>
                <w:szCs w:val="20"/>
                <w:lang w:eastAsia="cs-CZ"/>
              </w:rPr>
              <w:t> </w:t>
            </w:r>
          </w:p>
        </w:tc>
        <w:tc>
          <w:tcPr>
            <w:tcW w:w="577" w:type="pct"/>
            <w:tcBorders>
              <w:top w:val="nil"/>
              <w:left w:val="single" w:sz="4" w:space="0" w:color="auto"/>
              <w:bottom w:val="single" w:sz="4" w:space="0" w:color="152935"/>
              <w:right w:val="single" w:sz="4" w:space="0" w:color="E0E0E0"/>
            </w:tcBorders>
            <w:shd w:val="clear" w:color="auto" w:fill="auto"/>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N</w:t>
            </w:r>
          </w:p>
        </w:tc>
        <w:tc>
          <w:tcPr>
            <w:tcW w:w="579" w:type="pct"/>
            <w:tcBorders>
              <w:top w:val="nil"/>
              <w:left w:val="nil"/>
              <w:bottom w:val="single" w:sz="4" w:space="0" w:color="152935"/>
              <w:right w:val="nil"/>
            </w:tcBorders>
            <w:shd w:val="clear" w:color="auto" w:fill="auto"/>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Percent</w:t>
            </w:r>
          </w:p>
        </w:tc>
        <w:tc>
          <w:tcPr>
            <w:tcW w:w="578" w:type="pct"/>
            <w:tcBorders>
              <w:top w:val="nil"/>
              <w:left w:val="single" w:sz="4" w:space="0" w:color="E0E0E0"/>
              <w:bottom w:val="single" w:sz="4" w:space="0" w:color="152935"/>
              <w:right w:val="single" w:sz="4" w:space="0" w:color="E0E0E0"/>
            </w:tcBorders>
            <w:shd w:val="clear" w:color="auto" w:fill="auto"/>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N</w:t>
            </w:r>
          </w:p>
        </w:tc>
        <w:tc>
          <w:tcPr>
            <w:tcW w:w="578" w:type="pct"/>
            <w:tcBorders>
              <w:top w:val="nil"/>
              <w:left w:val="nil"/>
              <w:bottom w:val="single" w:sz="4" w:space="0" w:color="152935"/>
              <w:right w:val="nil"/>
            </w:tcBorders>
            <w:shd w:val="clear" w:color="auto" w:fill="auto"/>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Percent</w:t>
            </w:r>
          </w:p>
        </w:tc>
        <w:tc>
          <w:tcPr>
            <w:tcW w:w="578" w:type="pct"/>
            <w:tcBorders>
              <w:top w:val="nil"/>
              <w:left w:val="single" w:sz="4" w:space="0" w:color="E0E0E0"/>
              <w:bottom w:val="single" w:sz="4" w:space="0" w:color="152935"/>
              <w:right w:val="single" w:sz="4" w:space="0" w:color="E0E0E0"/>
            </w:tcBorders>
            <w:shd w:val="clear" w:color="auto" w:fill="auto"/>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N</w:t>
            </w:r>
          </w:p>
        </w:tc>
        <w:tc>
          <w:tcPr>
            <w:tcW w:w="577" w:type="pct"/>
            <w:tcBorders>
              <w:top w:val="nil"/>
              <w:left w:val="nil"/>
              <w:bottom w:val="single" w:sz="4" w:space="0" w:color="152935"/>
              <w:right w:val="single" w:sz="4" w:space="0" w:color="auto"/>
            </w:tcBorders>
            <w:shd w:val="clear" w:color="auto" w:fill="auto"/>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Percent</w:t>
            </w:r>
          </w:p>
        </w:tc>
      </w:tr>
      <w:tr w:rsidR="00074DC4" w:rsidRPr="00561874" w:rsidTr="001545FF">
        <w:trPr>
          <w:trHeight w:val="443"/>
        </w:trPr>
        <w:tc>
          <w:tcPr>
            <w:tcW w:w="1532" w:type="pct"/>
            <w:tcBorders>
              <w:top w:val="nil"/>
              <w:left w:val="single" w:sz="4" w:space="0" w:color="auto"/>
              <w:bottom w:val="single" w:sz="4" w:space="0" w:color="AEAEAE"/>
              <w:right w:val="nil"/>
            </w:tcBorders>
            <w:shd w:val="clear" w:color="auto" w:fill="auto"/>
            <w:vAlign w:val="center"/>
            <w:hideMark/>
          </w:tcPr>
          <w:p w:rsidR="00074DC4" w:rsidRPr="00561874" w:rsidRDefault="00074DC4" w:rsidP="00C65BE3">
            <w:pPr>
              <w:spacing w:after="0" w:line="240" w:lineRule="auto"/>
              <w:jc w:val="left"/>
              <w:rPr>
                <w:rFonts w:eastAsia="Times New Roman" w:cs="Arial"/>
                <w:sz w:val="20"/>
                <w:szCs w:val="20"/>
                <w:lang w:eastAsia="cs-CZ"/>
              </w:rPr>
            </w:pPr>
            <w:r w:rsidRPr="00561874">
              <w:rPr>
                <w:rFonts w:eastAsia="Times New Roman" w:cs="Arial"/>
                <w:sz w:val="20"/>
                <w:szCs w:val="20"/>
                <w:lang w:eastAsia="cs-CZ"/>
              </w:rPr>
              <w:t>1 rok před před úpadkem</w:t>
            </w:r>
          </w:p>
        </w:tc>
        <w:tc>
          <w:tcPr>
            <w:tcW w:w="577" w:type="pct"/>
            <w:tcBorders>
              <w:top w:val="nil"/>
              <w:left w:val="single" w:sz="4" w:space="0" w:color="auto"/>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330</w:t>
            </w:r>
          </w:p>
        </w:tc>
        <w:tc>
          <w:tcPr>
            <w:tcW w:w="579"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39,9 %</w:t>
            </w:r>
          </w:p>
        </w:tc>
        <w:tc>
          <w:tcPr>
            <w:tcW w:w="578"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497</w:t>
            </w:r>
          </w:p>
        </w:tc>
        <w:tc>
          <w:tcPr>
            <w:tcW w:w="578"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60,1 %</w:t>
            </w:r>
          </w:p>
        </w:tc>
        <w:tc>
          <w:tcPr>
            <w:tcW w:w="578"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827</w:t>
            </w:r>
          </w:p>
        </w:tc>
        <w:tc>
          <w:tcPr>
            <w:tcW w:w="577" w:type="pct"/>
            <w:tcBorders>
              <w:top w:val="nil"/>
              <w:left w:val="nil"/>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100,0 %</w:t>
            </w:r>
          </w:p>
        </w:tc>
      </w:tr>
      <w:tr w:rsidR="00525617" w:rsidRPr="00561874" w:rsidTr="001545FF">
        <w:trPr>
          <w:trHeight w:val="443"/>
        </w:trPr>
        <w:tc>
          <w:tcPr>
            <w:tcW w:w="1532" w:type="pct"/>
            <w:tcBorders>
              <w:top w:val="nil"/>
              <w:left w:val="single" w:sz="4" w:space="0" w:color="auto"/>
              <w:bottom w:val="single" w:sz="4" w:space="0" w:color="AEAEAE"/>
              <w:right w:val="nil"/>
            </w:tcBorders>
            <w:shd w:val="clear" w:color="auto" w:fill="auto"/>
            <w:vAlign w:val="center"/>
          </w:tcPr>
          <w:p w:rsidR="00525617" w:rsidRPr="00561874" w:rsidRDefault="00525617" w:rsidP="00C65BE3">
            <w:pPr>
              <w:spacing w:after="0" w:line="240" w:lineRule="auto"/>
              <w:jc w:val="left"/>
              <w:rPr>
                <w:rFonts w:eastAsia="Times New Roman" w:cs="Arial"/>
                <w:sz w:val="20"/>
                <w:szCs w:val="20"/>
                <w:lang w:eastAsia="cs-CZ"/>
              </w:rPr>
            </w:pPr>
          </w:p>
        </w:tc>
        <w:tc>
          <w:tcPr>
            <w:tcW w:w="577" w:type="pct"/>
            <w:tcBorders>
              <w:top w:val="nil"/>
              <w:left w:val="single" w:sz="4" w:space="0" w:color="auto"/>
              <w:bottom w:val="single" w:sz="4" w:space="0" w:color="AEAEAE"/>
              <w:right w:val="single" w:sz="4" w:space="0" w:color="E0E0E0"/>
            </w:tcBorders>
            <w:shd w:val="clear" w:color="auto" w:fill="auto"/>
            <w:noWrap/>
            <w:vAlign w:val="center"/>
          </w:tcPr>
          <w:p w:rsidR="00525617" w:rsidRPr="00561874" w:rsidRDefault="00525617" w:rsidP="00C65BE3">
            <w:pPr>
              <w:spacing w:after="0" w:line="240" w:lineRule="auto"/>
              <w:jc w:val="center"/>
              <w:rPr>
                <w:rFonts w:eastAsia="Times New Roman" w:cs="Arial"/>
                <w:sz w:val="20"/>
                <w:szCs w:val="20"/>
                <w:lang w:eastAsia="cs-CZ"/>
              </w:rPr>
            </w:pPr>
          </w:p>
        </w:tc>
        <w:tc>
          <w:tcPr>
            <w:tcW w:w="579" w:type="pct"/>
            <w:tcBorders>
              <w:top w:val="nil"/>
              <w:left w:val="nil"/>
              <w:bottom w:val="single" w:sz="4" w:space="0" w:color="AEAEAE"/>
              <w:right w:val="nil"/>
            </w:tcBorders>
            <w:shd w:val="clear" w:color="auto" w:fill="auto"/>
            <w:noWrap/>
            <w:vAlign w:val="center"/>
          </w:tcPr>
          <w:p w:rsidR="00525617" w:rsidRPr="00561874" w:rsidRDefault="00525617" w:rsidP="00C65BE3">
            <w:pPr>
              <w:spacing w:after="0" w:line="240" w:lineRule="auto"/>
              <w:jc w:val="center"/>
              <w:rPr>
                <w:rFonts w:eastAsia="Times New Roman" w:cs="Arial"/>
                <w:sz w:val="20"/>
                <w:szCs w:val="20"/>
                <w:lang w:eastAsia="cs-CZ"/>
              </w:rPr>
            </w:pPr>
          </w:p>
        </w:tc>
        <w:tc>
          <w:tcPr>
            <w:tcW w:w="578" w:type="pct"/>
            <w:tcBorders>
              <w:top w:val="nil"/>
              <w:left w:val="single" w:sz="4" w:space="0" w:color="E0E0E0"/>
              <w:bottom w:val="single" w:sz="4" w:space="0" w:color="AEAEAE"/>
              <w:right w:val="single" w:sz="4" w:space="0" w:color="E0E0E0"/>
            </w:tcBorders>
            <w:shd w:val="clear" w:color="auto" w:fill="auto"/>
            <w:noWrap/>
            <w:vAlign w:val="center"/>
          </w:tcPr>
          <w:p w:rsidR="00525617" w:rsidRPr="00561874" w:rsidRDefault="00525617" w:rsidP="00C65BE3">
            <w:pPr>
              <w:spacing w:after="0" w:line="240" w:lineRule="auto"/>
              <w:jc w:val="center"/>
              <w:rPr>
                <w:rFonts w:eastAsia="Times New Roman" w:cs="Arial"/>
                <w:sz w:val="20"/>
                <w:szCs w:val="20"/>
                <w:lang w:eastAsia="cs-CZ"/>
              </w:rPr>
            </w:pPr>
          </w:p>
        </w:tc>
        <w:tc>
          <w:tcPr>
            <w:tcW w:w="578" w:type="pct"/>
            <w:tcBorders>
              <w:top w:val="nil"/>
              <w:left w:val="nil"/>
              <w:bottom w:val="single" w:sz="4" w:space="0" w:color="AEAEAE"/>
              <w:right w:val="nil"/>
            </w:tcBorders>
            <w:shd w:val="clear" w:color="auto" w:fill="auto"/>
            <w:noWrap/>
            <w:vAlign w:val="center"/>
          </w:tcPr>
          <w:p w:rsidR="00525617" w:rsidRPr="00561874" w:rsidRDefault="00525617" w:rsidP="00C65BE3">
            <w:pPr>
              <w:spacing w:after="0" w:line="240" w:lineRule="auto"/>
              <w:jc w:val="center"/>
              <w:rPr>
                <w:rFonts w:eastAsia="Times New Roman" w:cs="Arial"/>
                <w:sz w:val="20"/>
                <w:szCs w:val="20"/>
                <w:lang w:eastAsia="cs-CZ"/>
              </w:rPr>
            </w:pPr>
          </w:p>
        </w:tc>
        <w:tc>
          <w:tcPr>
            <w:tcW w:w="578" w:type="pct"/>
            <w:tcBorders>
              <w:top w:val="nil"/>
              <w:left w:val="single" w:sz="4" w:space="0" w:color="E0E0E0"/>
              <w:bottom w:val="single" w:sz="4" w:space="0" w:color="AEAEAE"/>
              <w:right w:val="single" w:sz="4" w:space="0" w:color="E0E0E0"/>
            </w:tcBorders>
            <w:shd w:val="clear" w:color="auto" w:fill="auto"/>
            <w:noWrap/>
            <w:vAlign w:val="center"/>
          </w:tcPr>
          <w:p w:rsidR="00525617" w:rsidRPr="00561874" w:rsidRDefault="00525617" w:rsidP="00C65BE3">
            <w:pPr>
              <w:spacing w:after="0" w:line="240" w:lineRule="auto"/>
              <w:jc w:val="center"/>
              <w:rPr>
                <w:rFonts w:eastAsia="Times New Roman" w:cs="Arial"/>
                <w:sz w:val="20"/>
                <w:szCs w:val="20"/>
                <w:lang w:eastAsia="cs-CZ"/>
              </w:rPr>
            </w:pPr>
          </w:p>
        </w:tc>
        <w:tc>
          <w:tcPr>
            <w:tcW w:w="577" w:type="pct"/>
            <w:tcBorders>
              <w:top w:val="nil"/>
              <w:left w:val="nil"/>
              <w:bottom w:val="single" w:sz="4" w:space="0" w:color="AEAEAE"/>
              <w:right w:val="single" w:sz="4" w:space="0" w:color="auto"/>
            </w:tcBorders>
            <w:shd w:val="clear" w:color="auto" w:fill="auto"/>
            <w:noWrap/>
            <w:vAlign w:val="center"/>
          </w:tcPr>
          <w:p w:rsidR="00525617" w:rsidRPr="00561874" w:rsidRDefault="00525617" w:rsidP="00C65BE3">
            <w:pPr>
              <w:spacing w:after="0" w:line="240" w:lineRule="auto"/>
              <w:jc w:val="center"/>
              <w:rPr>
                <w:rFonts w:eastAsia="Times New Roman" w:cs="Arial"/>
                <w:sz w:val="20"/>
                <w:szCs w:val="20"/>
                <w:lang w:eastAsia="cs-CZ"/>
              </w:rPr>
            </w:pPr>
          </w:p>
        </w:tc>
      </w:tr>
      <w:tr w:rsidR="00074DC4" w:rsidRPr="00561874" w:rsidTr="001545FF">
        <w:trPr>
          <w:trHeight w:val="443"/>
        </w:trPr>
        <w:tc>
          <w:tcPr>
            <w:tcW w:w="1532" w:type="pct"/>
            <w:tcBorders>
              <w:top w:val="nil"/>
              <w:left w:val="single" w:sz="4" w:space="0" w:color="auto"/>
              <w:bottom w:val="single" w:sz="4" w:space="0" w:color="AEAEAE"/>
              <w:right w:val="nil"/>
            </w:tcBorders>
            <w:shd w:val="clear" w:color="auto" w:fill="auto"/>
            <w:vAlign w:val="center"/>
            <w:hideMark/>
          </w:tcPr>
          <w:p w:rsidR="00074DC4" w:rsidRPr="00561874" w:rsidRDefault="00074DC4" w:rsidP="00C65BE3">
            <w:pPr>
              <w:spacing w:after="0" w:line="240" w:lineRule="auto"/>
              <w:jc w:val="left"/>
              <w:rPr>
                <w:rFonts w:eastAsia="Times New Roman" w:cs="Arial"/>
                <w:sz w:val="20"/>
                <w:szCs w:val="20"/>
                <w:lang w:eastAsia="cs-CZ"/>
              </w:rPr>
            </w:pPr>
            <w:r w:rsidRPr="00561874">
              <w:rPr>
                <w:rFonts w:eastAsia="Times New Roman" w:cs="Arial"/>
                <w:sz w:val="20"/>
                <w:szCs w:val="20"/>
                <w:lang w:eastAsia="cs-CZ"/>
              </w:rPr>
              <w:t>2 roky před úpadkem</w:t>
            </w:r>
          </w:p>
        </w:tc>
        <w:tc>
          <w:tcPr>
            <w:tcW w:w="577" w:type="pct"/>
            <w:tcBorders>
              <w:top w:val="nil"/>
              <w:left w:val="single" w:sz="4" w:space="0" w:color="auto"/>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339</w:t>
            </w:r>
          </w:p>
        </w:tc>
        <w:tc>
          <w:tcPr>
            <w:tcW w:w="579"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44,7 %</w:t>
            </w:r>
          </w:p>
        </w:tc>
        <w:tc>
          <w:tcPr>
            <w:tcW w:w="578"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420</w:t>
            </w:r>
          </w:p>
        </w:tc>
        <w:tc>
          <w:tcPr>
            <w:tcW w:w="578"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55,3 %</w:t>
            </w:r>
          </w:p>
        </w:tc>
        <w:tc>
          <w:tcPr>
            <w:tcW w:w="578"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759</w:t>
            </w:r>
          </w:p>
        </w:tc>
        <w:tc>
          <w:tcPr>
            <w:tcW w:w="577" w:type="pct"/>
            <w:tcBorders>
              <w:top w:val="nil"/>
              <w:left w:val="nil"/>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100,0 %</w:t>
            </w:r>
          </w:p>
        </w:tc>
      </w:tr>
      <w:tr w:rsidR="00074DC4" w:rsidRPr="00561874" w:rsidTr="001545FF">
        <w:trPr>
          <w:trHeight w:val="443"/>
        </w:trPr>
        <w:tc>
          <w:tcPr>
            <w:tcW w:w="1532" w:type="pct"/>
            <w:tcBorders>
              <w:top w:val="nil"/>
              <w:left w:val="single" w:sz="4" w:space="0" w:color="auto"/>
              <w:bottom w:val="single" w:sz="4" w:space="0" w:color="auto"/>
              <w:right w:val="nil"/>
            </w:tcBorders>
            <w:shd w:val="clear" w:color="auto" w:fill="auto"/>
            <w:vAlign w:val="center"/>
            <w:hideMark/>
          </w:tcPr>
          <w:p w:rsidR="00074DC4" w:rsidRPr="00561874" w:rsidRDefault="00074DC4" w:rsidP="00C65BE3">
            <w:pPr>
              <w:spacing w:after="0" w:line="240" w:lineRule="auto"/>
              <w:jc w:val="left"/>
              <w:rPr>
                <w:rFonts w:eastAsia="Times New Roman" w:cs="Arial"/>
                <w:sz w:val="20"/>
                <w:szCs w:val="20"/>
                <w:lang w:eastAsia="cs-CZ"/>
              </w:rPr>
            </w:pPr>
            <w:r w:rsidRPr="00561874">
              <w:rPr>
                <w:rFonts w:eastAsia="Times New Roman" w:cs="Arial"/>
                <w:sz w:val="20"/>
                <w:szCs w:val="20"/>
                <w:lang w:eastAsia="cs-CZ"/>
              </w:rPr>
              <w:t>3 roky před úpadkem</w:t>
            </w:r>
          </w:p>
        </w:tc>
        <w:tc>
          <w:tcPr>
            <w:tcW w:w="577" w:type="pct"/>
            <w:tcBorders>
              <w:top w:val="nil"/>
              <w:left w:val="single" w:sz="4" w:space="0" w:color="auto"/>
              <w:bottom w:val="single" w:sz="4" w:space="0" w:color="auto"/>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313</w:t>
            </w:r>
          </w:p>
        </w:tc>
        <w:tc>
          <w:tcPr>
            <w:tcW w:w="579" w:type="pct"/>
            <w:tcBorders>
              <w:top w:val="nil"/>
              <w:left w:val="nil"/>
              <w:bottom w:val="single" w:sz="4" w:space="0" w:color="auto"/>
              <w:right w:val="nil"/>
            </w:tcBorders>
            <w:shd w:val="clear" w:color="auto" w:fill="auto"/>
            <w:noWrap/>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45,0 %</w:t>
            </w:r>
          </w:p>
        </w:tc>
        <w:tc>
          <w:tcPr>
            <w:tcW w:w="578" w:type="pct"/>
            <w:tcBorders>
              <w:top w:val="nil"/>
              <w:left w:val="single" w:sz="4" w:space="0" w:color="E0E0E0"/>
              <w:bottom w:val="single" w:sz="4" w:space="0" w:color="auto"/>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383</w:t>
            </w:r>
          </w:p>
        </w:tc>
        <w:tc>
          <w:tcPr>
            <w:tcW w:w="578" w:type="pct"/>
            <w:tcBorders>
              <w:top w:val="nil"/>
              <w:left w:val="nil"/>
              <w:bottom w:val="single" w:sz="4" w:space="0" w:color="auto"/>
              <w:right w:val="nil"/>
            </w:tcBorders>
            <w:shd w:val="clear" w:color="auto" w:fill="auto"/>
            <w:noWrap/>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55,0 %</w:t>
            </w:r>
          </w:p>
        </w:tc>
        <w:tc>
          <w:tcPr>
            <w:tcW w:w="578" w:type="pct"/>
            <w:tcBorders>
              <w:top w:val="nil"/>
              <w:left w:val="single" w:sz="4" w:space="0" w:color="E0E0E0"/>
              <w:bottom w:val="single" w:sz="4" w:space="0" w:color="auto"/>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696</w:t>
            </w:r>
          </w:p>
        </w:tc>
        <w:tc>
          <w:tcPr>
            <w:tcW w:w="577" w:type="pct"/>
            <w:tcBorders>
              <w:top w:val="nil"/>
              <w:left w:val="nil"/>
              <w:bottom w:val="single" w:sz="4" w:space="0" w:color="auto"/>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100,0 %</w:t>
            </w:r>
          </w:p>
        </w:tc>
      </w:tr>
    </w:tbl>
    <w:p w:rsidR="00074DC4" w:rsidRDefault="00074DC4" w:rsidP="00074DC4"/>
    <w:p w:rsidR="00074DC4" w:rsidRDefault="00074DC4" w:rsidP="00074DC4">
      <w:r>
        <w:t xml:space="preserve">Při stanovení mezery krytí byla použita určitá modifikace definice mezery krytí v insolvenční legislativě, neboť podrobné údaje o položkách, které dále vstupují do stanovení mezery krytí anebo </w:t>
      </w:r>
      <w:proofErr w:type="gramStart"/>
      <w:r>
        <w:t>jsou</w:t>
      </w:r>
      <w:proofErr w:type="gramEnd"/>
      <w:r>
        <w:t xml:space="preserve"> naopak z jejího stanovení vyloučeny </w:t>
      </w:r>
      <w:proofErr w:type="gramStart"/>
      <w:r>
        <w:t>nejsou</w:t>
      </w:r>
      <w:proofErr w:type="gramEnd"/>
      <w:r>
        <w:t xml:space="preserve"> k dispozici. Jde zejména o případné nevyčerpané kontokorentní úvěry, či závazky, u kterých by věřitelé přistoupili na odklad jejich splatnosti. To však zásadně nemění vypovídací schopnost dále provedené analýzy, neboť tyto položky se vyskytují spíše výjimečně a u úpadkových podniků je důvodné se domnívat, že např. žádnými nevyčerpanými kontokorentními úvěry nedisponovaly, či že ochota věřitelů přistoupit bez dalšího na odklad splatnosti by byla minimální.</w:t>
      </w:r>
    </w:p>
    <w:p w:rsidR="00074DC4" w:rsidRDefault="00074DC4" w:rsidP="00074DC4">
      <w:r>
        <w:t>Pokud hodnota stanovená výše popsaným způsobem byla kladná, byla následně stanovena míra mezery krytí, a to jako podíl uvedeného rozdílu (mezery krytí v absolutním vyjádření) a závazků po splatnosti.</w:t>
      </w:r>
    </w:p>
    <w:p w:rsidR="007E0D2A" w:rsidRDefault="00074DC4" w:rsidP="007E0D2A">
      <w:r>
        <w:t xml:space="preserve">Následně byla vytvořena dichotomická proměnná, která indikuje, zda je mezera krytí nad toleranční hranicí. U každého podniku </w:t>
      </w:r>
      <w:proofErr w:type="gramStart"/>
      <w:r>
        <w:t>ve</w:t>
      </w:r>
      <w:proofErr w:type="gramEnd"/>
      <w:r>
        <w:t xml:space="preserve"> souboru tak byla vytvořena dichotomická proměnná, na jejímž základě lze určit, zda je u podniku mezera krytí v toleranci či mezera krytí neexistuje, nebo zda u podniku existuje mezera krytí nad toleranční hranicí, což úpadkové podniky rozřazuje do dvou skupin (mezera krytí v toleranční hranici nebo žádná a mezery krytí vyšší než 10 %). Dále pak byly analyzovány průměr a medián mezery krytí úpadkových podniků a jejich vývoj v čase a výskyt mezery krytí, resp. mezery krytí nad toleranční hranicí na základě výše popsané dichotomické proměnné a </w:t>
      </w:r>
      <w:r w:rsidR="007E0D2A">
        <w:t>vývoj uvedených veličin v čase.</w:t>
      </w:r>
    </w:p>
    <w:p w:rsidR="007E0D2A" w:rsidRDefault="007E0D2A" w:rsidP="007E0D2A"/>
    <w:p w:rsidR="007E0D2A" w:rsidRDefault="007E0D2A" w:rsidP="00B370E5">
      <w:pPr>
        <w:pStyle w:val="Nadpis3"/>
        <w:numPr>
          <w:ilvl w:val="2"/>
          <w:numId w:val="15"/>
        </w:numPr>
      </w:pPr>
      <w:bookmarkStart w:id="132" w:name="_Toc31054478"/>
      <w:r w:rsidRPr="007E0D2A">
        <w:t>Výsledky</w:t>
      </w:r>
      <w:r>
        <w:t xml:space="preserve"> analýzy</w:t>
      </w:r>
      <w:bookmarkEnd w:id="132"/>
    </w:p>
    <w:p w:rsidR="00074DC4" w:rsidRDefault="00074DC4" w:rsidP="007E0D2A">
      <w:pPr>
        <w:rPr>
          <w:szCs w:val="24"/>
        </w:rPr>
      </w:pPr>
    </w:p>
    <w:p w:rsidR="00074DC4" w:rsidRDefault="00074DC4" w:rsidP="00B370E5">
      <w:pPr>
        <w:pStyle w:val="Nadpis3"/>
        <w:numPr>
          <w:ilvl w:val="2"/>
          <w:numId w:val="15"/>
        </w:numPr>
      </w:pPr>
      <w:bookmarkStart w:id="133" w:name="_Toc31054479"/>
      <w:r w:rsidRPr="00796298">
        <w:t>Č</w:t>
      </w:r>
      <w:r w:rsidR="007E0D2A">
        <w:t xml:space="preserve">etnosti polarit vybraných ukazatelů </w:t>
      </w:r>
      <w:r w:rsidR="007E0D2A" w:rsidRPr="00B370E5">
        <w:t>úpadkových</w:t>
      </w:r>
      <w:r w:rsidR="007E0D2A">
        <w:t xml:space="preserve"> a bezproblémových podniků</w:t>
      </w:r>
      <w:bookmarkEnd w:id="133"/>
    </w:p>
    <w:p w:rsidR="00074DC4" w:rsidRDefault="00074DC4" w:rsidP="005A5A62">
      <w:pPr>
        <w:pStyle w:val="Nadpis4"/>
        <w:numPr>
          <w:ilvl w:val="3"/>
          <w:numId w:val="15"/>
        </w:numPr>
      </w:pPr>
      <w:r w:rsidRPr="00DD452C">
        <w:t xml:space="preserve">Polarita ukazatelů tvorby </w:t>
      </w:r>
      <w:r w:rsidRPr="004515E5">
        <w:t>zisku</w:t>
      </w:r>
    </w:p>
    <w:p w:rsidR="004515E5" w:rsidRPr="004515E5" w:rsidRDefault="004515E5" w:rsidP="004515E5"/>
    <w:p w:rsidR="000E79E9" w:rsidRDefault="000E79E9" w:rsidP="00074DC4">
      <w:pPr>
        <w:pStyle w:val="Bezmezer"/>
        <w:rPr>
          <w:b/>
        </w:rPr>
      </w:pPr>
    </w:p>
    <w:p w:rsidR="000E79E9" w:rsidRDefault="000E79E9" w:rsidP="00074DC4">
      <w:pPr>
        <w:pStyle w:val="Bezmezer"/>
        <w:rPr>
          <w:b/>
        </w:rPr>
      </w:pPr>
    </w:p>
    <w:p w:rsidR="000E79E9" w:rsidRDefault="000E79E9" w:rsidP="00074DC4">
      <w:pPr>
        <w:pStyle w:val="Bezmezer"/>
        <w:rPr>
          <w:b/>
        </w:rPr>
      </w:pPr>
    </w:p>
    <w:p w:rsidR="000E79E9" w:rsidRDefault="000E79E9" w:rsidP="00074DC4">
      <w:pPr>
        <w:pStyle w:val="Bezmezer"/>
        <w:rPr>
          <w:b/>
        </w:rPr>
      </w:pPr>
    </w:p>
    <w:p w:rsidR="000E79E9" w:rsidRDefault="000E79E9" w:rsidP="00074DC4">
      <w:pPr>
        <w:pStyle w:val="Bezmezer"/>
        <w:rPr>
          <w:b/>
        </w:rPr>
      </w:pPr>
    </w:p>
    <w:p w:rsidR="00074DC4" w:rsidRPr="004515E5" w:rsidRDefault="00074DC4" w:rsidP="000E79E9">
      <w:pPr>
        <w:pStyle w:val="Bezmezer"/>
        <w:spacing w:before="120" w:after="240"/>
        <w:rPr>
          <w:b/>
        </w:rPr>
      </w:pPr>
      <w:r w:rsidRPr="004515E5">
        <w:rPr>
          <w:b/>
        </w:rPr>
        <w:t>Polarita přidané hodnoty</w:t>
      </w:r>
    </w:p>
    <w:p w:rsidR="001545FF" w:rsidRDefault="001545FF" w:rsidP="001545FF">
      <w:pPr>
        <w:pStyle w:val="Titulek"/>
        <w:keepNext/>
      </w:pPr>
      <w:bookmarkStart w:id="134" w:name="_Toc31054827"/>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51</w:t>
      </w:r>
      <w:r w:rsidR="00163A91">
        <w:rPr>
          <w:noProof/>
        </w:rPr>
        <w:fldChar w:fldCharType="end"/>
      </w:r>
      <w:r>
        <w:t xml:space="preserve"> Polarita přidané hodnoty</w:t>
      </w:r>
      <w:bookmarkEnd w:id="134"/>
    </w:p>
    <w:tbl>
      <w:tblPr>
        <w:tblW w:w="5000" w:type="pct"/>
        <w:tblCellMar>
          <w:left w:w="70" w:type="dxa"/>
          <w:right w:w="70" w:type="dxa"/>
        </w:tblCellMar>
        <w:tblLook w:val="04A0"/>
      </w:tblPr>
      <w:tblGrid>
        <w:gridCol w:w="2066"/>
        <w:gridCol w:w="2620"/>
        <w:gridCol w:w="1131"/>
        <w:gridCol w:w="1131"/>
        <w:gridCol w:w="1135"/>
        <w:gridCol w:w="1129"/>
      </w:tblGrid>
      <w:tr w:rsidR="00074DC4" w:rsidRPr="004515E5" w:rsidTr="001545FF">
        <w:trPr>
          <w:trHeight w:val="281"/>
        </w:trPr>
        <w:tc>
          <w:tcPr>
            <w:tcW w:w="2543"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 </w:t>
            </w:r>
          </w:p>
        </w:tc>
        <w:tc>
          <w:tcPr>
            <w:tcW w:w="1844" w:type="pct"/>
            <w:gridSpan w:val="3"/>
            <w:tcBorders>
              <w:top w:val="single" w:sz="4" w:space="0" w:color="auto"/>
              <w:left w:val="nil"/>
              <w:bottom w:val="nil"/>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Stáří dat</w:t>
            </w:r>
          </w:p>
        </w:tc>
        <w:tc>
          <w:tcPr>
            <w:tcW w:w="613"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Total</w:t>
            </w:r>
          </w:p>
        </w:tc>
      </w:tr>
      <w:tr w:rsidR="00074DC4" w:rsidRPr="004515E5" w:rsidTr="001545FF">
        <w:trPr>
          <w:trHeight w:val="281"/>
        </w:trPr>
        <w:tc>
          <w:tcPr>
            <w:tcW w:w="2543" w:type="pct"/>
            <w:gridSpan w:val="2"/>
            <w:vMerge/>
            <w:tcBorders>
              <w:top w:val="single" w:sz="4" w:space="0" w:color="auto"/>
              <w:left w:val="single" w:sz="4" w:space="0" w:color="auto"/>
              <w:bottom w:val="single" w:sz="4" w:space="0" w:color="152935"/>
              <w:right w:val="nil"/>
            </w:tcBorders>
            <w:vAlign w:val="center"/>
            <w:hideMark/>
          </w:tcPr>
          <w:p w:rsidR="00074DC4" w:rsidRPr="004515E5" w:rsidRDefault="00074DC4" w:rsidP="004515E5">
            <w:pPr>
              <w:rPr>
                <w:rFonts w:cs="Times New Roman"/>
                <w:sz w:val="18"/>
                <w:szCs w:val="18"/>
                <w:lang w:eastAsia="cs-CZ"/>
              </w:rPr>
            </w:pPr>
          </w:p>
        </w:tc>
        <w:tc>
          <w:tcPr>
            <w:tcW w:w="614" w:type="pct"/>
            <w:tcBorders>
              <w:top w:val="nil"/>
              <w:left w:val="nil"/>
              <w:bottom w:val="single" w:sz="4" w:space="0" w:color="152935"/>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2 roky před úpadkem</w:t>
            </w:r>
          </w:p>
        </w:tc>
        <w:tc>
          <w:tcPr>
            <w:tcW w:w="616" w:type="pct"/>
            <w:tcBorders>
              <w:top w:val="nil"/>
              <w:left w:val="nil"/>
              <w:bottom w:val="single" w:sz="4" w:space="0" w:color="152935"/>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3 roky před úpadkem</w:t>
            </w:r>
          </w:p>
        </w:tc>
        <w:tc>
          <w:tcPr>
            <w:tcW w:w="613" w:type="pct"/>
            <w:vMerge/>
            <w:tcBorders>
              <w:top w:val="single" w:sz="4" w:space="0" w:color="auto"/>
              <w:left w:val="single" w:sz="4" w:space="0" w:color="E0E0E0"/>
              <w:bottom w:val="single" w:sz="4" w:space="0" w:color="152935"/>
              <w:right w:val="single" w:sz="4" w:space="0" w:color="auto"/>
            </w:tcBorders>
            <w:vAlign w:val="center"/>
            <w:hideMark/>
          </w:tcPr>
          <w:p w:rsidR="00074DC4" w:rsidRPr="004515E5" w:rsidRDefault="00074DC4" w:rsidP="004515E5">
            <w:pPr>
              <w:rPr>
                <w:rFonts w:cs="Times New Roman"/>
                <w:sz w:val="18"/>
                <w:szCs w:val="18"/>
                <w:lang w:eastAsia="cs-CZ"/>
              </w:rPr>
            </w:pPr>
          </w:p>
        </w:tc>
      </w:tr>
      <w:tr w:rsidR="00074DC4" w:rsidRPr="004515E5" w:rsidTr="00C65BE3">
        <w:trPr>
          <w:trHeight w:val="281"/>
        </w:trPr>
        <w:tc>
          <w:tcPr>
            <w:tcW w:w="1121" w:type="pct"/>
            <w:vMerge w:val="restart"/>
            <w:tcBorders>
              <w:top w:val="nil"/>
              <w:left w:val="single" w:sz="4" w:space="0" w:color="auto"/>
              <w:bottom w:val="single" w:sz="4" w:space="0" w:color="AEAEAE"/>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Bezproblémové podniky</w:t>
            </w:r>
          </w:p>
        </w:tc>
        <w:tc>
          <w:tcPr>
            <w:tcW w:w="1422" w:type="pct"/>
            <w:tcBorders>
              <w:top w:val="nil"/>
              <w:left w:val="nil"/>
              <w:bottom w:val="single" w:sz="4" w:space="0" w:color="AEAEAE"/>
              <w:right w:val="nil"/>
            </w:tcBorders>
            <w:shd w:val="clear" w:color="auto" w:fill="auto"/>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Kladná přidaná hodnota</w:t>
            </w:r>
          </w:p>
        </w:tc>
        <w:tc>
          <w:tcPr>
            <w:tcW w:w="614"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89,1 %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89,0 %</w:t>
            </w:r>
          </w:p>
        </w:tc>
        <w:tc>
          <w:tcPr>
            <w:tcW w:w="616"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88,9 %</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89,0 %</w:t>
            </w:r>
          </w:p>
        </w:tc>
      </w:tr>
      <w:tr w:rsidR="00074DC4" w:rsidRPr="004515E5" w:rsidTr="00C65BE3">
        <w:trPr>
          <w:trHeight w:val="281"/>
        </w:trPr>
        <w:tc>
          <w:tcPr>
            <w:tcW w:w="1121" w:type="pct"/>
            <w:vMerge/>
            <w:tcBorders>
              <w:top w:val="nil"/>
              <w:left w:val="single" w:sz="4" w:space="0" w:color="auto"/>
              <w:bottom w:val="single" w:sz="4" w:space="0" w:color="AEAEAE"/>
              <w:right w:val="nil"/>
            </w:tcBorders>
            <w:vAlign w:val="center"/>
            <w:hideMark/>
          </w:tcPr>
          <w:p w:rsidR="00074DC4" w:rsidRPr="004515E5" w:rsidRDefault="00074DC4" w:rsidP="004515E5">
            <w:pPr>
              <w:rPr>
                <w:rFonts w:cs="Times New Roman"/>
                <w:sz w:val="18"/>
                <w:szCs w:val="18"/>
                <w:lang w:eastAsia="cs-CZ"/>
              </w:rPr>
            </w:pPr>
          </w:p>
        </w:tc>
        <w:tc>
          <w:tcPr>
            <w:tcW w:w="1422" w:type="pct"/>
            <w:tcBorders>
              <w:top w:val="nil"/>
              <w:left w:val="nil"/>
              <w:bottom w:val="single" w:sz="4" w:space="0" w:color="AEAEAE"/>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Záporná přidaná hodnota</w:t>
            </w:r>
          </w:p>
        </w:tc>
        <w:tc>
          <w:tcPr>
            <w:tcW w:w="614"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10,9 %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11,0 %</w:t>
            </w:r>
          </w:p>
        </w:tc>
        <w:tc>
          <w:tcPr>
            <w:tcW w:w="616"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11,1 %</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11,0 %</w:t>
            </w:r>
          </w:p>
        </w:tc>
      </w:tr>
      <w:tr w:rsidR="00074DC4" w:rsidRPr="004515E5" w:rsidTr="001545FF">
        <w:trPr>
          <w:trHeight w:val="281"/>
        </w:trPr>
        <w:tc>
          <w:tcPr>
            <w:tcW w:w="2543" w:type="pct"/>
            <w:gridSpan w:val="2"/>
            <w:tcBorders>
              <w:top w:val="single" w:sz="4" w:space="0" w:color="AEAEAE"/>
              <w:left w:val="single" w:sz="4" w:space="0" w:color="auto"/>
              <w:bottom w:val="single" w:sz="4" w:space="0" w:color="152935"/>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Total</w:t>
            </w:r>
          </w:p>
        </w:tc>
        <w:tc>
          <w:tcPr>
            <w:tcW w:w="614" w:type="pct"/>
            <w:tcBorders>
              <w:top w:val="nil"/>
              <w:left w:val="nil"/>
              <w:bottom w:val="single" w:sz="4" w:space="0" w:color="152935"/>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c>
          <w:tcPr>
            <w:tcW w:w="616" w:type="pct"/>
            <w:tcBorders>
              <w:top w:val="nil"/>
              <w:left w:val="nil"/>
              <w:bottom w:val="single" w:sz="4" w:space="0" w:color="152935"/>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c>
          <w:tcPr>
            <w:tcW w:w="613" w:type="pct"/>
            <w:tcBorders>
              <w:top w:val="nil"/>
              <w:left w:val="single" w:sz="4" w:space="0" w:color="E0E0E0"/>
              <w:bottom w:val="single" w:sz="4" w:space="0" w:color="152935"/>
              <w:right w:val="single" w:sz="4" w:space="0" w:color="auto"/>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r>
      <w:tr w:rsidR="00074DC4" w:rsidRPr="004515E5" w:rsidTr="00C65BE3">
        <w:trPr>
          <w:trHeight w:val="281"/>
        </w:trPr>
        <w:tc>
          <w:tcPr>
            <w:tcW w:w="1121" w:type="pct"/>
            <w:vMerge w:val="restart"/>
            <w:tcBorders>
              <w:top w:val="nil"/>
              <w:left w:val="single" w:sz="4" w:space="0" w:color="auto"/>
              <w:bottom w:val="single" w:sz="4" w:space="0" w:color="AEAEAE"/>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Úpadkové podniky</w:t>
            </w:r>
          </w:p>
        </w:tc>
        <w:tc>
          <w:tcPr>
            <w:tcW w:w="1422" w:type="pct"/>
            <w:tcBorders>
              <w:top w:val="nil"/>
              <w:left w:val="nil"/>
              <w:bottom w:val="single" w:sz="4" w:space="0" w:color="AEAEAE"/>
              <w:right w:val="nil"/>
            </w:tcBorders>
            <w:shd w:val="clear" w:color="auto" w:fill="auto"/>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Kladná přidaná hodnota</w:t>
            </w:r>
          </w:p>
        </w:tc>
        <w:tc>
          <w:tcPr>
            <w:tcW w:w="614"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 xml:space="preserve">66,0 %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 xml:space="preserve">76,3 % </w:t>
            </w:r>
          </w:p>
        </w:tc>
        <w:tc>
          <w:tcPr>
            <w:tcW w:w="616"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80,5 %</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73,8 %</w:t>
            </w:r>
          </w:p>
        </w:tc>
      </w:tr>
      <w:tr w:rsidR="00074DC4" w:rsidRPr="004515E5" w:rsidTr="00C65BE3">
        <w:trPr>
          <w:trHeight w:val="281"/>
        </w:trPr>
        <w:tc>
          <w:tcPr>
            <w:tcW w:w="1121" w:type="pct"/>
            <w:vMerge/>
            <w:tcBorders>
              <w:top w:val="nil"/>
              <w:left w:val="single" w:sz="4" w:space="0" w:color="auto"/>
              <w:bottom w:val="single" w:sz="4" w:space="0" w:color="AEAEAE"/>
              <w:right w:val="nil"/>
            </w:tcBorders>
            <w:vAlign w:val="center"/>
            <w:hideMark/>
          </w:tcPr>
          <w:p w:rsidR="00074DC4" w:rsidRPr="004515E5" w:rsidRDefault="00074DC4" w:rsidP="004515E5">
            <w:pPr>
              <w:rPr>
                <w:rFonts w:cs="Times New Roman"/>
                <w:sz w:val="18"/>
                <w:szCs w:val="18"/>
                <w:lang w:eastAsia="cs-CZ"/>
              </w:rPr>
            </w:pPr>
          </w:p>
        </w:tc>
        <w:tc>
          <w:tcPr>
            <w:tcW w:w="1422" w:type="pct"/>
            <w:tcBorders>
              <w:top w:val="nil"/>
              <w:left w:val="nil"/>
              <w:bottom w:val="single" w:sz="4" w:space="0" w:color="AEAEAE"/>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Záporná přidaná hodnota</w:t>
            </w:r>
          </w:p>
        </w:tc>
        <w:tc>
          <w:tcPr>
            <w:tcW w:w="614"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 xml:space="preserve">34,0 %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23,7 %</w:t>
            </w:r>
          </w:p>
        </w:tc>
        <w:tc>
          <w:tcPr>
            <w:tcW w:w="616"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19,5 %</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26,2 %</w:t>
            </w:r>
          </w:p>
        </w:tc>
      </w:tr>
      <w:tr w:rsidR="00074DC4" w:rsidRPr="004515E5" w:rsidTr="001545FF">
        <w:trPr>
          <w:trHeight w:val="281"/>
        </w:trPr>
        <w:tc>
          <w:tcPr>
            <w:tcW w:w="2543" w:type="pct"/>
            <w:gridSpan w:val="2"/>
            <w:tcBorders>
              <w:top w:val="single" w:sz="4" w:space="0" w:color="AEAEAE"/>
              <w:left w:val="single" w:sz="4" w:space="0" w:color="auto"/>
              <w:bottom w:val="single" w:sz="4" w:space="0" w:color="auto"/>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Total</w:t>
            </w:r>
          </w:p>
        </w:tc>
        <w:tc>
          <w:tcPr>
            <w:tcW w:w="614" w:type="pct"/>
            <w:tcBorders>
              <w:top w:val="nil"/>
              <w:left w:val="nil"/>
              <w:bottom w:val="single" w:sz="4" w:space="0" w:color="auto"/>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c>
          <w:tcPr>
            <w:tcW w:w="616" w:type="pct"/>
            <w:tcBorders>
              <w:top w:val="nil"/>
              <w:left w:val="nil"/>
              <w:bottom w:val="single" w:sz="4" w:space="0" w:color="auto"/>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c>
          <w:tcPr>
            <w:tcW w:w="613" w:type="pct"/>
            <w:tcBorders>
              <w:top w:val="nil"/>
              <w:left w:val="single" w:sz="4" w:space="0" w:color="E0E0E0"/>
              <w:bottom w:val="single" w:sz="4" w:space="0" w:color="auto"/>
              <w:right w:val="single" w:sz="4" w:space="0" w:color="auto"/>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r>
    </w:tbl>
    <w:p w:rsidR="00074DC4" w:rsidRPr="004515E5" w:rsidRDefault="00074DC4" w:rsidP="004515E5">
      <w:pPr>
        <w:rPr>
          <w:rFonts w:cs="Times New Roman"/>
          <w:sz w:val="18"/>
          <w:szCs w:val="18"/>
        </w:rPr>
      </w:pPr>
    </w:p>
    <w:p w:rsidR="00074DC4" w:rsidRDefault="00074DC4" w:rsidP="004515E5">
      <w:pPr>
        <w:rPr>
          <w:rFonts w:cs="Times New Roman"/>
          <w:b/>
          <w:sz w:val="18"/>
          <w:szCs w:val="18"/>
        </w:rPr>
      </w:pPr>
      <w:r w:rsidRPr="004515E5">
        <w:rPr>
          <w:rFonts w:cs="Times New Roman"/>
          <w:b/>
          <w:sz w:val="18"/>
          <w:szCs w:val="18"/>
        </w:rPr>
        <w:t>Polarita primární EBITDA</w:t>
      </w:r>
    </w:p>
    <w:p w:rsidR="001545FF" w:rsidRDefault="001545FF" w:rsidP="001545FF">
      <w:pPr>
        <w:pStyle w:val="Titulek"/>
        <w:keepNext/>
      </w:pPr>
      <w:bookmarkStart w:id="135" w:name="_Toc31054828"/>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52</w:t>
      </w:r>
      <w:r w:rsidR="00163A91">
        <w:rPr>
          <w:noProof/>
        </w:rPr>
        <w:fldChar w:fldCharType="end"/>
      </w:r>
      <w:r>
        <w:t xml:space="preserve"> Polarita primární EBITDA</w:t>
      </w:r>
      <w:bookmarkEnd w:id="135"/>
    </w:p>
    <w:tbl>
      <w:tblPr>
        <w:tblW w:w="5000" w:type="pct"/>
        <w:tblCellMar>
          <w:left w:w="70" w:type="dxa"/>
          <w:right w:w="70" w:type="dxa"/>
        </w:tblCellMar>
        <w:tblLook w:val="04A0"/>
      </w:tblPr>
      <w:tblGrid>
        <w:gridCol w:w="2066"/>
        <w:gridCol w:w="2620"/>
        <w:gridCol w:w="1131"/>
        <w:gridCol w:w="1131"/>
        <w:gridCol w:w="1135"/>
        <w:gridCol w:w="1129"/>
      </w:tblGrid>
      <w:tr w:rsidR="00074DC4" w:rsidRPr="004515E5" w:rsidTr="001545FF">
        <w:trPr>
          <w:trHeight w:val="292"/>
        </w:trPr>
        <w:tc>
          <w:tcPr>
            <w:tcW w:w="2543"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 </w:t>
            </w:r>
          </w:p>
        </w:tc>
        <w:tc>
          <w:tcPr>
            <w:tcW w:w="1844" w:type="pct"/>
            <w:gridSpan w:val="3"/>
            <w:tcBorders>
              <w:top w:val="single" w:sz="4" w:space="0" w:color="auto"/>
              <w:left w:val="nil"/>
              <w:bottom w:val="nil"/>
              <w:right w:val="single" w:sz="4" w:space="0" w:color="E0E0E0"/>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Stáří dat</w:t>
            </w:r>
          </w:p>
        </w:tc>
        <w:tc>
          <w:tcPr>
            <w:tcW w:w="613"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Total</w:t>
            </w:r>
          </w:p>
        </w:tc>
      </w:tr>
      <w:tr w:rsidR="00074DC4" w:rsidRPr="004515E5" w:rsidTr="001545FF">
        <w:trPr>
          <w:trHeight w:val="292"/>
        </w:trPr>
        <w:tc>
          <w:tcPr>
            <w:tcW w:w="2543" w:type="pct"/>
            <w:gridSpan w:val="2"/>
            <w:vMerge/>
            <w:tcBorders>
              <w:top w:val="single" w:sz="4" w:space="0" w:color="auto"/>
              <w:left w:val="single" w:sz="4" w:space="0" w:color="auto"/>
              <w:bottom w:val="single" w:sz="4" w:space="0" w:color="152935"/>
              <w:right w:val="nil"/>
            </w:tcBorders>
            <w:vAlign w:val="center"/>
            <w:hideMark/>
          </w:tcPr>
          <w:p w:rsidR="00074DC4" w:rsidRPr="004515E5" w:rsidRDefault="00074DC4" w:rsidP="004515E5">
            <w:pPr>
              <w:rPr>
                <w:rFonts w:cs="Times New Roman"/>
                <w:sz w:val="18"/>
                <w:szCs w:val="18"/>
                <w:lang w:eastAsia="cs-CZ"/>
              </w:rPr>
            </w:pPr>
          </w:p>
        </w:tc>
        <w:tc>
          <w:tcPr>
            <w:tcW w:w="614" w:type="pct"/>
            <w:tcBorders>
              <w:top w:val="nil"/>
              <w:left w:val="nil"/>
              <w:bottom w:val="single" w:sz="4" w:space="0" w:color="152935"/>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2 roky před úpadkem</w:t>
            </w:r>
          </w:p>
        </w:tc>
        <w:tc>
          <w:tcPr>
            <w:tcW w:w="616" w:type="pct"/>
            <w:tcBorders>
              <w:top w:val="nil"/>
              <w:left w:val="nil"/>
              <w:bottom w:val="single" w:sz="4" w:space="0" w:color="152935"/>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3 roky před úpadkem</w:t>
            </w:r>
          </w:p>
        </w:tc>
        <w:tc>
          <w:tcPr>
            <w:tcW w:w="613" w:type="pct"/>
            <w:vMerge/>
            <w:tcBorders>
              <w:top w:val="single" w:sz="4" w:space="0" w:color="auto"/>
              <w:left w:val="single" w:sz="4" w:space="0" w:color="E0E0E0"/>
              <w:bottom w:val="single" w:sz="4" w:space="0" w:color="152935"/>
              <w:right w:val="single" w:sz="4" w:space="0" w:color="auto"/>
            </w:tcBorders>
            <w:vAlign w:val="center"/>
            <w:hideMark/>
          </w:tcPr>
          <w:p w:rsidR="00074DC4" w:rsidRPr="004515E5" w:rsidRDefault="00074DC4" w:rsidP="004515E5">
            <w:pPr>
              <w:rPr>
                <w:rFonts w:cs="Times New Roman"/>
                <w:sz w:val="18"/>
                <w:szCs w:val="18"/>
                <w:lang w:eastAsia="cs-CZ"/>
              </w:rPr>
            </w:pPr>
          </w:p>
        </w:tc>
      </w:tr>
      <w:tr w:rsidR="00074DC4" w:rsidRPr="004515E5" w:rsidTr="00C65BE3">
        <w:trPr>
          <w:trHeight w:val="292"/>
        </w:trPr>
        <w:tc>
          <w:tcPr>
            <w:tcW w:w="1121" w:type="pct"/>
            <w:vMerge w:val="restart"/>
            <w:tcBorders>
              <w:top w:val="nil"/>
              <w:left w:val="single" w:sz="4" w:space="0" w:color="auto"/>
              <w:bottom w:val="single" w:sz="4" w:space="0" w:color="AEAEAE"/>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Bezproblémové podniky</w:t>
            </w:r>
          </w:p>
        </w:tc>
        <w:tc>
          <w:tcPr>
            <w:tcW w:w="1422" w:type="pct"/>
            <w:tcBorders>
              <w:top w:val="nil"/>
              <w:left w:val="nil"/>
              <w:bottom w:val="single" w:sz="4" w:space="0" w:color="AEAEAE"/>
              <w:right w:val="nil"/>
            </w:tcBorders>
            <w:shd w:val="clear" w:color="auto" w:fill="auto"/>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Kladná primární EBITDA</w:t>
            </w:r>
          </w:p>
        </w:tc>
        <w:tc>
          <w:tcPr>
            <w:tcW w:w="614"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75,7 %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78,2 %</w:t>
            </w:r>
          </w:p>
        </w:tc>
        <w:tc>
          <w:tcPr>
            <w:tcW w:w="616"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76,8 %</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76,9 %</w:t>
            </w:r>
          </w:p>
        </w:tc>
      </w:tr>
      <w:tr w:rsidR="00074DC4" w:rsidRPr="004515E5" w:rsidTr="00C65BE3">
        <w:trPr>
          <w:trHeight w:val="292"/>
        </w:trPr>
        <w:tc>
          <w:tcPr>
            <w:tcW w:w="1121" w:type="pct"/>
            <w:vMerge/>
            <w:tcBorders>
              <w:top w:val="nil"/>
              <w:left w:val="single" w:sz="4" w:space="0" w:color="auto"/>
              <w:bottom w:val="single" w:sz="4" w:space="0" w:color="AEAEAE"/>
              <w:right w:val="nil"/>
            </w:tcBorders>
            <w:vAlign w:val="center"/>
            <w:hideMark/>
          </w:tcPr>
          <w:p w:rsidR="00074DC4" w:rsidRPr="004515E5" w:rsidRDefault="00074DC4" w:rsidP="004515E5">
            <w:pPr>
              <w:rPr>
                <w:rFonts w:cs="Times New Roman"/>
                <w:sz w:val="18"/>
                <w:szCs w:val="18"/>
                <w:lang w:eastAsia="cs-CZ"/>
              </w:rPr>
            </w:pPr>
          </w:p>
        </w:tc>
        <w:tc>
          <w:tcPr>
            <w:tcW w:w="1422" w:type="pct"/>
            <w:tcBorders>
              <w:top w:val="nil"/>
              <w:left w:val="nil"/>
              <w:bottom w:val="single" w:sz="4" w:space="0" w:color="AEAEAE"/>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Záporná primární EBITDA</w:t>
            </w:r>
          </w:p>
        </w:tc>
        <w:tc>
          <w:tcPr>
            <w:tcW w:w="614"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24,3 %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21,8 %</w:t>
            </w:r>
          </w:p>
        </w:tc>
        <w:tc>
          <w:tcPr>
            <w:tcW w:w="616"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23,2 %</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23,1 %</w:t>
            </w:r>
          </w:p>
        </w:tc>
      </w:tr>
      <w:tr w:rsidR="00074DC4" w:rsidRPr="004515E5" w:rsidTr="001545FF">
        <w:trPr>
          <w:trHeight w:val="292"/>
        </w:trPr>
        <w:tc>
          <w:tcPr>
            <w:tcW w:w="2543" w:type="pct"/>
            <w:gridSpan w:val="2"/>
            <w:tcBorders>
              <w:top w:val="single" w:sz="4" w:space="0" w:color="AEAEAE"/>
              <w:left w:val="single" w:sz="4" w:space="0" w:color="auto"/>
              <w:bottom w:val="single" w:sz="4" w:space="0" w:color="152935"/>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Total</w:t>
            </w:r>
          </w:p>
        </w:tc>
        <w:tc>
          <w:tcPr>
            <w:tcW w:w="614" w:type="pct"/>
            <w:tcBorders>
              <w:top w:val="nil"/>
              <w:left w:val="nil"/>
              <w:bottom w:val="single" w:sz="4" w:space="0" w:color="152935"/>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c>
          <w:tcPr>
            <w:tcW w:w="616" w:type="pct"/>
            <w:tcBorders>
              <w:top w:val="nil"/>
              <w:left w:val="nil"/>
              <w:bottom w:val="single" w:sz="4" w:space="0" w:color="152935"/>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c>
          <w:tcPr>
            <w:tcW w:w="613" w:type="pct"/>
            <w:tcBorders>
              <w:top w:val="nil"/>
              <w:left w:val="single" w:sz="4" w:space="0" w:color="E0E0E0"/>
              <w:bottom w:val="single" w:sz="4" w:space="0" w:color="152935"/>
              <w:right w:val="single" w:sz="4" w:space="0" w:color="auto"/>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r>
      <w:tr w:rsidR="00074DC4" w:rsidRPr="004515E5" w:rsidTr="00C65BE3">
        <w:trPr>
          <w:trHeight w:val="292"/>
        </w:trPr>
        <w:tc>
          <w:tcPr>
            <w:tcW w:w="1121" w:type="pct"/>
            <w:vMerge w:val="restart"/>
            <w:tcBorders>
              <w:top w:val="nil"/>
              <w:left w:val="single" w:sz="4" w:space="0" w:color="auto"/>
              <w:bottom w:val="single" w:sz="4" w:space="0" w:color="AEAEAE"/>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Úpadkové podniky</w:t>
            </w:r>
          </w:p>
        </w:tc>
        <w:tc>
          <w:tcPr>
            <w:tcW w:w="1422" w:type="pct"/>
            <w:tcBorders>
              <w:top w:val="nil"/>
              <w:left w:val="nil"/>
              <w:bottom w:val="single" w:sz="4" w:space="0" w:color="AEAEAE"/>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Kladná primární EBITDA</w:t>
            </w:r>
          </w:p>
        </w:tc>
        <w:tc>
          <w:tcPr>
            <w:tcW w:w="614"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26,0 %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 xml:space="preserve">44,4 % </w:t>
            </w:r>
          </w:p>
        </w:tc>
        <w:tc>
          <w:tcPr>
            <w:tcW w:w="616"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51,4 %</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39,9 %</w:t>
            </w:r>
          </w:p>
        </w:tc>
      </w:tr>
      <w:tr w:rsidR="00074DC4" w:rsidRPr="004515E5" w:rsidTr="00C65BE3">
        <w:trPr>
          <w:trHeight w:val="292"/>
        </w:trPr>
        <w:tc>
          <w:tcPr>
            <w:tcW w:w="1121" w:type="pct"/>
            <w:vMerge/>
            <w:tcBorders>
              <w:top w:val="nil"/>
              <w:left w:val="single" w:sz="4" w:space="0" w:color="auto"/>
              <w:bottom w:val="single" w:sz="4" w:space="0" w:color="AEAEAE"/>
              <w:right w:val="nil"/>
            </w:tcBorders>
            <w:vAlign w:val="center"/>
            <w:hideMark/>
          </w:tcPr>
          <w:p w:rsidR="00074DC4" w:rsidRPr="004515E5" w:rsidRDefault="00074DC4" w:rsidP="004515E5">
            <w:pPr>
              <w:rPr>
                <w:rFonts w:cs="Times New Roman"/>
                <w:sz w:val="18"/>
                <w:szCs w:val="18"/>
                <w:lang w:eastAsia="cs-CZ"/>
              </w:rPr>
            </w:pPr>
          </w:p>
        </w:tc>
        <w:tc>
          <w:tcPr>
            <w:tcW w:w="1422" w:type="pct"/>
            <w:tcBorders>
              <w:top w:val="nil"/>
              <w:left w:val="nil"/>
              <w:bottom w:val="single" w:sz="4" w:space="0" w:color="AEAEAE"/>
              <w:right w:val="nil"/>
            </w:tcBorders>
            <w:shd w:val="clear" w:color="auto" w:fill="auto"/>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Záporná primární EBITDA</w:t>
            </w:r>
          </w:p>
        </w:tc>
        <w:tc>
          <w:tcPr>
            <w:tcW w:w="614"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74,0 %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55,6 %</w:t>
            </w:r>
          </w:p>
        </w:tc>
        <w:tc>
          <w:tcPr>
            <w:tcW w:w="616"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48,6 %</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60,1 %</w:t>
            </w:r>
          </w:p>
        </w:tc>
      </w:tr>
      <w:tr w:rsidR="00074DC4" w:rsidRPr="004515E5" w:rsidTr="001545FF">
        <w:trPr>
          <w:trHeight w:val="292"/>
        </w:trPr>
        <w:tc>
          <w:tcPr>
            <w:tcW w:w="2543" w:type="pct"/>
            <w:gridSpan w:val="2"/>
            <w:tcBorders>
              <w:top w:val="single" w:sz="4" w:space="0" w:color="AEAEAE"/>
              <w:left w:val="single" w:sz="4" w:space="0" w:color="auto"/>
              <w:bottom w:val="single" w:sz="4" w:space="0" w:color="auto"/>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Total</w:t>
            </w:r>
          </w:p>
        </w:tc>
        <w:tc>
          <w:tcPr>
            <w:tcW w:w="614" w:type="pct"/>
            <w:tcBorders>
              <w:top w:val="nil"/>
              <w:left w:val="nil"/>
              <w:bottom w:val="single" w:sz="4" w:space="0" w:color="auto"/>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c>
          <w:tcPr>
            <w:tcW w:w="616" w:type="pct"/>
            <w:tcBorders>
              <w:top w:val="nil"/>
              <w:left w:val="nil"/>
              <w:bottom w:val="single" w:sz="4" w:space="0" w:color="auto"/>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c>
          <w:tcPr>
            <w:tcW w:w="613" w:type="pct"/>
            <w:tcBorders>
              <w:top w:val="nil"/>
              <w:left w:val="single" w:sz="4" w:space="0" w:color="E0E0E0"/>
              <w:bottom w:val="single" w:sz="4" w:space="0" w:color="auto"/>
              <w:right w:val="single" w:sz="4" w:space="0" w:color="auto"/>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r>
    </w:tbl>
    <w:p w:rsidR="00074DC4" w:rsidRPr="004515E5" w:rsidRDefault="00074DC4" w:rsidP="004515E5">
      <w:pPr>
        <w:rPr>
          <w:rFonts w:cs="Times New Roman"/>
          <w:sz w:val="18"/>
          <w:szCs w:val="18"/>
        </w:rPr>
      </w:pPr>
    </w:p>
    <w:p w:rsidR="00074DC4" w:rsidRDefault="00074DC4" w:rsidP="004515E5">
      <w:pPr>
        <w:rPr>
          <w:rFonts w:cs="Times New Roman"/>
          <w:b/>
          <w:sz w:val="18"/>
          <w:szCs w:val="18"/>
        </w:rPr>
      </w:pPr>
      <w:r w:rsidRPr="004515E5">
        <w:rPr>
          <w:rFonts w:cs="Times New Roman"/>
          <w:b/>
          <w:sz w:val="18"/>
          <w:szCs w:val="18"/>
        </w:rPr>
        <w:t>Polarita provozní EBITDA</w:t>
      </w:r>
    </w:p>
    <w:p w:rsidR="001545FF" w:rsidRDefault="001545FF" w:rsidP="001545FF">
      <w:pPr>
        <w:pStyle w:val="Titulek"/>
        <w:keepNext/>
      </w:pPr>
      <w:bookmarkStart w:id="136" w:name="_Toc31054829"/>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53</w:t>
      </w:r>
      <w:r w:rsidR="00163A91">
        <w:rPr>
          <w:noProof/>
        </w:rPr>
        <w:fldChar w:fldCharType="end"/>
      </w:r>
      <w:r>
        <w:t xml:space="preserve"> Polarita provozní EBITDA</w:t>
      </w:r>
      <w:bookmarkEnd w:id="136"/>
    </w:p>
    <w:tbl>
      <w:tblPr>
        <w:tblW w:w="5000" w:type="pct"/>
        <w:tblCellMar>
          <w:left w:w="70" w:type="dxa"/>
          <w:right w:w="70" w:type="dxa"/>
        </w:tblCellMar>
        <w:tblLook w:val="04A0"/>
      </w:tblPr>
      <w:tblGrid>
        <w:gridCol w:w="2064"/>
        <w:gridCol w:w="2622"/>
        <w:gridCol w:w="1131"/>
        <w:gridCol w:w="1131"/>
        <w:gridCol w:w="1133"/>
        <w:gridCol w:w="1131"/>
      </w:tblGrid>
      <w:tr w:rsidR="00074DC4" w:rsidRPr="004515E5" w:rsidTr="001545FF">
        <w:trPr>
          <w:trHeight w:val="294"/>
        </w:trPr>
        <w:tc>
          <w:tcPr>
            <w:tcW w:w="2542"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 </w:t>
            </w:r>
          </w:p>
        </w:tc>
        <w:tc>
          <w:tcPr>
            <w:tcW w:w="1843" w:type="pct"/>
            <w:gridSpan w:val="3"/>
            <w:tcBorders>
              <w:top w:val="single" w:sz="4" w:space="0" w:color="auto"/>
              <w:left w:val="nil"/>
              <w:bottom w:val="nil"/>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Stáří dat</w:t>
            </w:r>
          </w:p>
        </w:tc>
        <w:tc>
          <w:tcPr>
            <w:tcW w:w="614"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Total</w:t>
            </w:r>
          </w:p>
        </w:tc>
      </w:tr>
      <w:tr w:rsidR="00074DC4" w:rsidRPr="004515E5" w:rsidTr="001545FF">
        <w:trPr>
          <w:trHeight w:val="294"/>
        </w:trPr>
        <w:tc>
          <w:tcPr>
            <w:tcW w:w="2542" w:type="pct"/>
            <w:gridSpan w:val="2"/>
            <w:vMerge/>
            <w:tcBorders>
              <w:top w:val="single" w:sz="4" w:space="0" w:color="auto"/>
              <w:left w:val="single" w:sz="4" w:space="0" w:color="auto"/>
              <w:bottom w:val="single" w:sz="4" w:space="0" w:color="152935"/>
              <w:right w:val="nil"/>
            </w:tcBorders>
            <w:vAlign w:val="center"/>
            <w:hideMark/>
          </w:tcPr>
          <w:p w:rsidR="00074DC4" w:rsidRPr="004515E5" w:rsidRDefault="00074DC4" w:rsidP="004515E5">
            <w:pPr>
              <w:rPr>
                <w:rFonts w:cs="Times New Roman"/>
                <w:sz w:val="18"/>
                <w:szCs w:val="18"/>
                <w:lang w:eastAsia="cs-CZ"/>
              </w:rPr>
            </w:pPr>
          </w:p>
        </w:tc>
        <w:tc>
          <w:tcPr>
            <w:tcW w:w="614" w:type="pct"/>
            <w:tcBorders>
              <w:top w:val="nil"/>
              <w:left w:val="nil"/>
              <w:bottom w:val="single" w:sz="4" w:space="0" w:color="152935"/>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2 roky před úpadkem</w:t>
            </w:r>
          </w:p>
        </w:tc>
        <w:tc>
          <w:tcPr>
            <w:tcW w:w="615" w:type="pct"/>
            <w:tcBorders>
              <w:top w:val="nil"/>
              <w:left w:val="nil"/>
              <w:bottom w:val="single" w:sz="4" w:space="0" w:color="152935"/>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3 roky před úpadkem</w:t>
            </w:r>
          </w:p>
        </w:tc>
        <w:tc>
          <w:tcPr>
            <w:tcW w:w="614" w:type="pct"/>
            <w:vMerge/>
            <w:tcBorders>
              <w:top w:val="single" w:sz="4" w:space="0" w:color="auto"/>
              <w:left w:val="single" w:sz="4" w:space="0" w:color="E0E0E0"/>
              <w:bottom w:val="single" w:sz="4" w:space="0" w:color="152935"/>
              <w:right w:val="single" w:sz="4" w:space="0" w:color="auto"/>
            </w:tcBorders>
            <w:vAlign w:val="center"/>
            <w:hideMark/>
          </w:tcPr>
          <w:p w:rsidR="00074DC4" w:rsidRPr="004515E5" w:rsidRDefault="00074DC4" w:rsidP="004515E5">
            <w:pPr>
              <w:rPr>
                <w:rFonts w:cs="Times New Roman"/>
                <w:sz w:val="18"/>
                <w:szCs w:val="18"/>
                <w:lang w:eastAsia="cs-CZ"/>
              </w:rPr>
            </w:pPr>
          </w:p>
        </w:tc>
      </w:tr>
      <w:tr w:rsidR="00074DC4" w:rsidRPr="004515E5" w:rsidTr="00C65BE3">
        <w:trPr>
          <w:trHeight w:val="294"/>
        </w:trPr>
        <w:tc>
          <w:tcPr>
            <w:tcW w:w="1120" w:type="pct"/>
            <w:vMerge w:val="restart"/>
            <w:tcBorders>
              <w:top w:val="nil"/>
              <w:left w:val="single" w:sz="4" w:space="0" w:color="auto"/>
              <w:bottom w:val="single" w:sz="4" w:space="0" w:color="AEAEAE"/>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Bezproblémové podniky</w:t>
            </w:r>
          </w:p>
        </w:tc>
        <w:tc>
          <w:tcPr>
            <w:tcW w:w="1423" w:type="pct"/>
            <w:tcBorders>
              <w:top w:val="nil"/>
              <w:left w:val="nil"/>
              <w:bottom w:val="single" w:sz="4" w:space="0" w:color="AEAEAE"/>
              <w:right w:val="nil"/>
            </w:tcBorders>
            <w:shd w:val="clear" w:color="auto" w:fill="auto"/>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Kladná provozní EBITDA</w:t>
            </w:r>
          </w:p>
        </w:tc>
        <w:tc>
          <w:tcPr>
            <w:tcW w:w="614"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79,0 %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80,0 %</w:t>
            </w:r>
          </w:p>
        </w:tc>
        <w:tc>
          <w:tcPr>
            <w:tcW w:w="615"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79,3 %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79,4 %</w:t>
            </w:r>
          </w:p>
        </w:tc>
      </w:tr>
      <w:tr w:rsidR="00074DC4" w:rsidRPr="004515E5" w:rsidTr="00C65BE3">
        <w:trPr>
          <w:trHeight w:val="294"/>
        </w:trPr>
        <w:tc>
          <w:tcPr>
            <w:tcW w:w="1120" w:type="pct"/>
            <w:vMerge/>
            <w:tcBorders>
              <w:top w:val="nil"/>
              <w:left w:val="single" w:sz="4" w:space="0" w:color="auto"/>
              <w:bottom w:val="single" w:sz="4" w:space="0" w:color="AEAEAE"/>
              <w:right w:val="nil"/>
            </w:tcBorders>
            <w:vAlign w:val="center"/>
            <w:hideMark/>
          </w:tcPr>
          <w:p w:rsidR="00074DC4" w:rsidRPr="004515E5" w:rsidRDefault="00074DC4" w:rsidP="004515E5">
            <w:pPr>
              <w:rPr>
                <w:rFonts w:cs="Times New Roman"/>
                <w:sz w:val="18"/>
                <w:szCs w:val="18"/>
                <w:lang w:eastAsia="cs-CZ"/>
              </w:rPr>
            </w:pPr>
          </w:p>
        </w:tc>
        <w:tc>
          <w:tcPr>
            <w:tcW w:w="1423" w:type="pct"/>
            <w:tcBorders>
              <w:top w:val="nil"/>
              <w:left w:val="nil"/>
              <w:bottom w:val="single" w:sz="4" w:space="0" w:color="AEAEAE"/>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Záporná provozní EBITDA</w:t>
            </w:r>
          </w:p>
        </w:tc>
        <w:tc>
          <w:tcPr>
            <w:tcW w:w="614"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21,0 %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20,0 %</w:t>
            </w:r>
          </w:p>
        </w:tc>
        <w:tc>
          <w:tcPr>
            <w:tcW w:w="615"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20,7 %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20,6 %</w:t>
            </w:r>
          </w:p>
        </w:tc>
      </w:tr>
      <w:tr w:rsidR="00074DC4" w:rsidRPr="004515E5" w:rsidTr="001545FF">
        <w:trPr>
          <w:trHeight w:val="294"/>
        </w:trPr>
        <w:tc>
          <w:tcPr>
            <w:tcW w:w="2542" w:type="pct"/>
            <w:gridSpan w:val="2"/>
            <w:tcBorders>
              <w:top w:val="single" w:sz="4" w:space="0" w:color="AEAEAE"/>
              <w:left w:val="single" w:sz="4" w:space="0" w:color="auto"/>
              <w:bottom w:val="single" w:sz="4" w:space="0" w:color="152935"/>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Total</w:t>
            </w:r>
          </w:p>
        </w:tc>
        <w:tc>
          <w:tcPr>
            <w:tcW w:w="614" w:type="pct"/>
            <w:tcBorders>
              <w:top w:val="nil"/>
              <w:left w:val="nil"/>
              <w:bottom w:val="single" w:sz="4" w:space="0" w:color="152935"/>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c>
          <w:tcPr>
            <w:tcW w:w="615" w:type="pct"/>
            <w:tcBorders>
              <w:top w:val="nil"/>
              <w:left w:val="nil"/>
              <w:bottom w:val="single" w:sz="4" w:space="0" w:color="152935"/>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c>
          <w:tcPr>
            <w:tcW w:w="614" w:type="pct"/>
            <w:tcBorders>
              <w:top w:val="nil"/>
              <w:left w:val="single" w:sz="4" w:space="0" w:color="E0E0E0"/>
              <w:bottom w:val="single" w:sz="4" w:space="0" w:color="152935"/>
              <w:right w:val="single" w:sz="4" w:space="0" w:color="auto"/>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r>
      <w:tr w:rsidR="00074DC4" w:rsidRPr="004515E5" w:rsidTr="00C65BE3">
        <w:trPr>
          <w:trHeight w:val="294"/>
        </w:trPr>
        <w:tc>
          <w:tcPr>
            <w:tcW w:w="1120" w:type="pct"/>
            <w:vMerge w:val="restart"/>
            <w:tcBorders>
              <w:top w:val="nil"/>
              <w:left w:val="single" w:sz="4" w:space="0" w:color="auto"/>
              <w:bottom w:val="single" w:sz="4" w:space="0" w:color="AEAEAE"/>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Úpadkové podniky</w:t>
            </w:r>
          </w:p>
        </w:tc>
        <w:tc>
          <w:tcPr>
            <w:tcW w:w="1423" w:type="pct"/>
            <w:tcBorders>
              <w:top w:val="nil"/>
              <w:left w:val="nil"/>
              <w:bottom w:val="single" w:sz="4" w:space="0" w:color="AEAEAE"/>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Kladná provozní EBITDA</w:t>
            </w:r>
          </w:p>
        </w:tc>
        <w:tc>
          <w:tcPr>
            <w:tcW w:w="614"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24,1 %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43,7 %</w:t>
            </w:r>
          </w:p>
        </w:tc>
        <w:tc>
          <w:tcPr>
            <w:tcW w:w="615"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52,2 %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39,2 %</w:t>
            </w:r>
          </w:p>
        </w:tc>
      </w:tr>
      <w:tr w:rsidR="00074DC4" w:rsidRPr="004515E5" w:rsidTr="00C65BE3">
        <w:trPr>
          <w:trHeight w:val="294"/>
        </w:trPr>
        <w:tc>
          <w:tcPr>
            <w:tcW w:w="1120" w:type="pct"/>
            <w:vMerge/>
            <w:tcBorders>
              <w:top w:val="nil"/>
              <w:left w:val="single" w:sz="4" w:space="0" w:color="auto"/>
              <w:bottom w:val="single" w:sz="4" w:space="0" w:color="AEAEAE"/>
              <w:right w:val="nil"/>
            </w:tcBorders>
            <w:vAlign w:val="center"/>
            <w:hideMark/>
          </w:tcPr>
          <w:p w:rsidR="00074DC4" w:rsidRPr="004515E5" w:rsidRDefault="00074DC4" w:rsidP="004515E5">
            <w:pPr>
              <w:rPr>
                <w:rFonts w:cs="Times New Roman"/>
                <w:sz w:val="18"/>
                <w:szCs w:val="18"/>
                <w:lang w:eastAsia="cs-CZ"/>
              </w:rPr>
            </w:pPr>
          </w:p>
        </w:tc>
        <w:tc>
          <w:tcPr>
            <w:tcW w:w="1423" w:type="pct"/>
            <w:tcBorders>
              <w:top w:val="nil"/>
              <w:left w:val="nil"/>
              <w:bottom w:val="single" w:sz="4" w:space="0" w:color="AEAEAE"/>
              <w:right w:val="nil"/>
            </w:tcBorders>
            <w:shd w:val="clear" w:color="auto" w:fill="auto"/>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Záporná provozní EBITDA</w:t>
            </w:r>
          </w:p>
        </w:tc>
        <w:tc>
          <w:tcPr>
            <w:tcW w:w="614"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75,9 %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56,3 %</w:t>
            </w:r>
          </w:p>
        </w:tc>
        <w:tc>
          <w:tcPr>
            <w:tcW w:w="615" w:type="pct"/>
            <w:tcBorders>
              <w:top w:val="nil"/>
              <w:left w:val="nil"/>
              <w:bottom w:val="single" w:sz="4" w:space="0" w:color="AEAEAE"/>
              <w:right w:val="nil"/>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47,8 %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4515E5" w:rsidRDefault="00074DC4" w:rsidP="004515E5">
            <w:pPr>
              <w:rPr>
                <w:rFonts w:cs="Times New Roman"/>
                <w:b/>
                <w:bCs/>
                <w:sz w:val="18"/>
                <w:szCs w:val="18"/>
                <w:lang w:eastAsia="cs-CZ"/>
              </w:rPr>
            </w:pPr>
            <w:r w:rsidRPr="004515E5">
              <w:rPr>
                <w:rFonts w:cs="Times New Roman"/>
                <w:b/>
                <w:bCs/>
                <w:sz w:val="18"/>
                <w:szCs w:val="18"/>
                <w:lang w:eastAsia="cs-CZ"/>
              </w:rPr>
              <w:t>60,8 %</w:t>
            </w:r>
          </w:p>
        </w:tc>
      </w:tr>
      <w:tr w:rsidR="00074DC4" w:rsidRPr="004515E5" w:rsidTr="001545FF">
        <w:trPr>
          <w:trHeight w:val="294"/>
        </w:trPr>
        <w:tc>
          <w:tcPr>
            <w:tcW w:w="2542" w:type="pct"/>
            <w:gridSpan w:val="2"/>
            <w:tcBorders>
              <w:top w:val="single" w:sz="4" w:space="0" w:color="AEAEAE"/>
              <w:left w:val="single" w:sz="4" w:space="0" w:color="auto"/>
              <w:bottom w:val="single" w:sz="4" w:space="0" w:color="auto"/>
              <w:right w:val="nil"/>
            </w:tcBorders>
            <w:shd w:val="clear" w:color="auto" w:fill="auto"/>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lastRenderedPageBreak/>
              <w:t>Total</w:t>
            </w:r>
          </w:p>
        </w:tc>
        <w:tc>
          <w:tcPr>
            <w:tcW w:w="614" w:type="pct"/>
            <w:tcBorders>
              <w:top w:val="nil"/>
              <w:left w:val="nil"/>
              <w:bottom w:val="single" w:sz="4" w:space="0" w:color="auto"/>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c>
          <w:tcPr>
            <w:tcW w:w="615" w:type="pct"/>
            <w:tcBorders>
              <w:top w:val="nil"/>
              <w:left w:val="nil"/>
              <w:bottom w:val="single" w:sz="4" w:space="0" w:color="auto"/>
              <w:right w:val="nil"/>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c>
          <w:tcPr>
            <w:tcW w:w="614" w:type="pct"/>
            <w:tcBorders>
              <w:top w:val="nil"/>
              <w:left w:val="single" w:sz="4" w:space="0" w:color="E0E0E0"/>
              <w:bottom w:val="single" w:sz="4" w:space="0" w:color="auto"/>
              <w:right w:val="single" w:sz="4" w:space="0" w:color="auto"/>
            </w:tcBorders>
            <w:shd w:val="clear" w:color="auto" w:fill="auto"/>
            <w:noWrap/>
            <w:vAlign w:val="center"/>
            <w:hideMark/>
          </w:tcPr>
          <w:p w:rsidR="00074DC4" w:rsidRPr="004515E5" w:rsidRDefault="00074DC4" w:rsidP="004515E5">
            <w:pPr>
              <w:rPr>
                <w:rFonts w:cs="Times New Roman"/>
                <w:sz w:val="18"/>
                <w:szCs w:val="18"/>
                <w:lang w:eastAsia="cs-CZ"/>
              </w:rPr>
            </w:pPr>
            <w:r w:rsidRPr="004515E5">
              <w:rPr>
                <w:rFonts w:cs="Times New Roman"/>
                <w:sz w:val="18"/>
                <w:szCs w:val="18"/>
                <w:lang w:eastAsia="cs-CZ"/>
              </w:rPr>
              <w:t>100,0 %</w:t>
            </w:r>
          </w:p>
        </w:tc>
      </w:tr>
    </w:tbl>
    <w:p w:rsidR="00074DC4" w:rsidRDefault="00074DC4" w:rsidP="00074DC4">
      <w:pPr>
        <w:rPr>
          <w:szCs w:val="24"/>
        </w:rPr>
      </w:pPr>
    </w:p>
    <w:p w:rsidR="00074DC4" w:rsidRDefault="00074DC4" w:rsidP="00074DC4">
      <w:pPr>
        <w:rPr>
          <w:szCs w:val="24"/>
        </w:rPr>
      </w:pPr>
      <w:r w:rsidRPr="00011AAC">
        <w:rPr>
          <w:szCs w:val="24"/>
        </w:rPr>
        <w:t>V období jednoho roku před zjištěním úpadku jsou patrné významné rozdíly v četnosti polarit všech ukazatelů tvorby zisku mezi úpadkovými a bezproblémovými podniky. V průměru se ukazuje, že se úpadkové podniky se podílejí cca 80 % na celkovém počtu podniků, které vykazují zápornou hodnotu ukazatelů tvorby zisku v tomto období.</w:t>
      </w:r>
    </w:p>
    <w:p w:rsidR="00074DC4" w:rsidRDefault="00074DC4" w:rsidP="00074DC4">
      <w:r>
        <w:t>Stejně tak v období dvou let před zjištěním úpadku jsou rozdíly v polaritách ukazatelů tvorby zisku signifikantní. V průměru připadá v tomto období na úpadkové podniky více než 70 % záporných hodnot těchto ukazatelů na úpadkové podniky.</w:t>
      </w:r>
    </w:p>
    <w:p w:rsidR="00074DC4" w:rsidRDefault="00074DC4" w:rsidP="00074DC4">
      <w:r>
        <w:t>Ukazuje se, že ani v období tří let před zjištěním úpadku u úpadkových podniků nedochází u polarit ukazatelů tvorby zisku k žádné významné odlišnosti od období jednoho a dvou let. Z celkového počtu podniků se zápornou hodnotou přervává významná převaha úpadkových podniků, a to v průměru na úrovni více než 68 %.</w:t>
      </w:r>
    </w:p>
    <w:p w:rsidR="00074DC4" w:rsidRPr="00DD452C" w:rsidRDefault="00074DC4" w:rsidP="005A5A62">
      <w:pPr>
        <w:pStyle w:val="Nadpis4"/>
        <w:numPr>
          <w:ilvl w:val="3"/>
          <w:numId w:val="16"/>
        </w:numPr>
        <w:rPr>
          <w:szCs w:val="24"/>
        </w:rPr>
      </w:pPr>
      <w:r w:rsidRPr="00DD452C">
        <w:t>Polarita ukazatelů pracovního kapitálu</w:t>
      </w:r>
    </w:p>
    <w:p w:rsidR="004515E5" w:rsidRDefault="004515E5" w:rsidP="00074DC4">
      <w:pPr>
        <w:pStyle w:val="Bezmezer"/>
        <w:rPr>
          <w:b/>
        </w:rPr>
      </w:pPr>
    </w:p>
    <w:p w:rsidR="00074DC4" w:rsidRDefault="00074DC4" w:rsidP="00074DC4">
      <w:pPr>
        <w:pStyle w:val="Bezmezer"/>
        <w:rPr>
          <w:b/>
        </w:rPr>
      </w:pPr>
      <w:r w:rsidRPr="004515E5">
        <w:rPr>
          <w:b/>
        </w:rPr>
        <w:t>Polarita nutné hotovosti</w:t>
      </w:r>
    </w:p>
    <w:p w:rsidR="004515E5" w:rsidRPr="004515E5" w:rsidRDefault="004515E5" w:rsidP="00074DC4">
      <w:pPr>
        <w:pStyle w:val="Bezmezer"/>
        <w:rPr>
          <w:b/>
        </w:rPr>
      </w:pPr>
    </w:p>
    <w:p w:rsidR="00FF4035" w:rsidRDefault="00FF4035" w:rsidP="00FF4035">
      <w:pPr>
        <w:pStyle w:val="Titulek"/>
        <w:keepNext/>
      </w:pPr>
      <w:bookmarkStart w:id="137" w:name="_Toc31054830"/>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54</w:t>
      </w:r>
      <w:r w:rsidR="00163A91">
        <w:rPr>
          <w:noProof/>
        </w:rPr>
        <w:fldChar w:fldCharType="end"/>
      </w:r>
      <w:r>
        <w:t xml:space="preserve"> Polarita nutné hotovosti</w:t>
      </w:r>
      <w:bookmarkEnd w:id="137"/>
    </w:p>
    <w:tbl>
      <w:tblPr>
        <w:tblW w:w="5000" w:type="pct"/>
        <w:tblCellMar>
          <w:left w:w="70" w:type="dxa"/>
          <w:right w:w="70" w:type="dxa"/>
        </w:tblCellMar>
        <w:tblLook w:val="04A0"/>
      </w:tblPr>
      <w:tblGrid>
        <w:gridCol w:w="2066"/>
        <w:gridCol w:w="2620"/>
        <w:gridCol w:w="1131"/>
        <w:gridCol w:w="1131"/>
        <w:gridCol w:w="1133"/>
        <w:gridCol w:w="1131"/>
      </w:tblGrid>
      <w:tr w:rsidR="00074DC4" w:rsidRPr="00561874" w:rsidTr="00C65BE3">
        <w:trPr>
          <w:trHeight w:val="302"/>
        </w:trPr>
        <w:tc>
          <w:tcPr>
            <w:tcW w:w="2542"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3" w:type="pct"/>
            <w:gridSpan w:val="3"/>
            <w:tcBorders>
              <w:top w:val="single" w:sz="4" w:space="0" w:color="auto"/>
              <w:left w:val="nil"/>
              <w:bottom w:val="nil"/>
              <w:right w:val="nil"/>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4"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Total</w:t>
            </w:r>
          </w:p>
        </w:tc>
      </w:tr>
      <w:tr w:rsidR="00074DC4" w:rsidRPr="00561874" w:rsidTr="00FF4035">
        <w:trPr>
          <w:trHeight w:val="605"/>
        </w:trPr>
        <w:tc>
          <w:tcPr>
            <w:tcW w:w="2542" w:type="pct"/>
            <w:gridSpan w:val="2"/>
            <w:vMerge/>
            <w:tcBorders>
              <w:top w:val="single" w:sz="4" w:space="0" w:color="auto"/>
              <w:left w:val="single" w:sz="4" w:space="0" w:color="auto"/>
              <w:bottom w:val="single" w:sz="4" w:space="0" w:color="152935"/>
              <w:right w:val="nil"/>
            </w:tcBorders>
            <w:vAlign w:val="center"/>
            <w:hideMark/>
          </w:tcPr>
          <w:p w:rsidR="00074DC4" w:rsidRPr="00561874" w:rsidRDefault="00074DC4" w:rsidP="00C65BE3">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5" w:type="pct"/>
            <w:tcBorders>
              <w:top w:val="nil"/>
              <w:left w:val="nil"/>
              <w:bottom w:val="single" w:sz="4" w:space="0" w:color="152935"/>
              <w:right w:val="nil"/>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4" w:type="pct"/>
            <w:vMerge/>
            <w:tcBorders>
              <w:top w:val="single" w:sz="4" w:space="0" w:color="auto"/>
              <w:left w:val="single" w:sz="4" w:space="0" w:color="E0E0E0"/>
              <w:bottom w:val="single" w:sz="4" w:space="0" w:color="152935"/>
              <w:right w:val="single" w:sz="4" w:space="0" w:color="auto"/>
            </w:tcBorders>
            <w:vAlign w:val="center"/>
            <w:hideMark/>
          </w:tcPr>
          <w:p w:rsidR="00074DC4" w:rsidRPr="00561874" w:rsidRDefault="00074DC4" w:rsidP="00C65BE3">
            <w:pPr>
              <w:spacing w:after="0" w:line="240" w:lineRule="auto"/>
              <w:rPr>
                <w:rFonts w:eastAsia="Times New Roman" w:cs="Calibri"/>
                <w:sz w:val="20"/>
                <w:szCs w:val="20"/>
                <w:lang w:eastAsia="cs-CZ"/>
              </w:rPr>
            </w:pPr>
          </w:p>
        </w:tc>
      </w:tr>
      <w:tr w:rsidR="00074DC4" w:rsidRPr="00561874" w:rsidTr="00FF4035">
        <w:trPr>
          <w:trHeight w:val="302"/>
        </w:trPr>
        <w:tc>
          <w:tcPr>
            <w:tcW w:w="1121" w:type="pct"/>
            <w:vMerge w:val="restart"/>
            <w:tcBorders>
              <w:top w:val="nil"/>
              <w:left w:val="single" w:sz="4" w:space="0" w:color="auto"/>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2" w:type="pct"/>
            <w:tcBorders>
              <w:top w:val="nil"/>
              <w:left w:val="nil"/>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Přebytek nutné hotovosti</w:t>
            </w:r>
          </w:p>
        </w:tc>
        <w:tc>
          <w:tcPr>
            <w:tcW w:w="614"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70,4 %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70,6 %</w:t>
            </w:r>
          </w:p>
        </w:tc>
        <w:tc>
          <w:tcPr>
            <w:tcW w:w="615"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70,7 %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70,5 %</w:t>
            </w:r>
          </w:p>
        </w:tc>
      </w:tr>
      <w:tr w:rsidR="00074DC4" w:rsidRPr="00561874" w:rsidTr="00FF4035">
        <w:trPr>
          <w:trHeight w:val="302"/>
        </w:trPr>
        <w:tc>
          <w:tcPr>
            <w:tcW w:w="1121" w:type="pct"/>
            <w:vMerge/>
            <w:tcBorders>
              <w:top w:val="nil"/>
              <w:left w:val="single" w:sz="4" w:space="0" w:color="auto"/>
              <w:bottom w:val="single" w:sz="4" w:space="0" w:color="AEAEAE"/>
              <w:right w:val="nil"/>
            </w:tcBorders>
            <w:vAlign w:val="center"/>
            <w:hideMark/>
          </w:tcPr>
          <w:p w:rsidR="00074DC4" w:rsidRPr="00561874" w:rsidRDefault="00074DC4" w:rsidP="00C65BE3">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Deficit nutné hotovosti</w:t>
            </w:r>
          </w:p>
        </w:tc>
        <w:tc>
          <w:tcPr>
            <w:tcW w:w="614"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29,6 %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29,4 %</w:t>
            </w:r>
          </w:p>
        </w:tc>
        <w:tc>
          <w:tcPr>
            <w:tcW w:w="615"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29,3 %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29,5 %</w:t>
            </w:r>
          </w:p>
        </w:tc>
      </w:tr>
      <w:tr w:rsidR="00074DC4" w:rsidRPr="00561874" w:rsidTr="00FF4035">
        <w:trPr>
          <w:trHeight w:val="302"/>
        </w:trPr>
        <w:tc>
          <w:tcPr>
            <w:tcW w:w="2542" w:type="pct"/>
            <w:gridSpan w:val="2"/>
            <w:tcBorders>
              <w:top w:val="single" w:sz="4" w:space="0" w:color="AEAEAE"/>
              <w:left w:val="single" w:sz="4" w:space="0" w:color="auto"/>
              <w:bottom w:val="single" w:sz="4" w:space="0" w:color="152935"/>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Total</w:t>
            </w:r>
          </w:p>
        </w:tc>
        <w:tc>
          <w:tcPr>
            <w:tcW w:w="614" w:type="pct"/>
            <w:tcBorders>
              <w:top w:val="nil"/>
              <w:left w:val="nil"/>
              <w:bottom w:val="single" w:sz="4" w:space="0" w:color="152935"/>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5" w:type="pct"/>
            <w:tcBorders>
              <w:top w:val="nil"/>
              <w:left w:val="nil"/>
              <w:bottom w:val="single" w:sz="4" w:space="0" w:color="152935"/>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4" w:type="pct"/>
            <w:tcBorders>
              <w:top w:val="nil"/>
              <w:left w:val="single" w:sz="4" w:space="0" w:color="E0E0E0"/>
              <w:bottom w:val="single" w:sz="4" w:space="0" w:color="152935"/>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r>
      <w:tr w:rsidR="00074DC4" w:rsidRPr="00561874" w:rsidTr="00FF4035">
        <w:trPr>
          <w:trHeight w:val="302"/>
        </w:trPr>
        <w:tc>
          <w:tcPr>
            <w:tcW w:w="1121" w:type="pct"/>
            <w:vMerge w:val="restart"/>
            <w:tcBorders>
              <w:top w:val="nil"/>
              <w:left w:val="single" w:sz="4" w:space="0" w:color="auto"/>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2" w:type="pct"/>
            <w:tcBorders>
              <w:top w:val="nil"/>
              <w:left w:val="nil"/>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Přebytek nutné hotovosti</w:t>
            </w:r>
          </w:p>
        </w:tc>
        <w:tc>
          <w:tcPr>
            <w:tcW w:w="614"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 xml:space="preserve">19,5 %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 xml:space="preserve">31,1 % </w:t>
            </w:r>
          </w:p>
        </w:tc>
        <w:tc>
          <w:tcPr>
            <w:tcW w:w="615"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 xml:space="preserve">34,8 %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28,0 %</w:t>
            </w:r>
          </w:p>
        </w:tc>
      </w:tr>
      <w:tr w:rsidR="00074DC4" w:rsidRPr="00561874" w:rsidTr="00FF4035">
        <w:trPr>
          <w:trHeight w:val="302"/>
        </w:trPr>
        <w:tc>
          <w:tcPr>
            <w:tcW w:w="1121" w:type="pct"/>
            <w:vMerge/>
            <w:tcBorders>
              <w:top w:val="nil"/>
              <w:left w:val="single" w:sz="4" w:space="0" w:color="auto"/>
              <w:bottom w:val="single" w:sz="4" w:space="0" w:color="AEAEAE"/>
              <w:right w:val="nil"/>
            </w:tcBorders>
            <w:vAlign w:val="center"/>
            <w:hideMark/>
          </w:tcPr>
          <w:p w:rsidR="00074DC4" w:rsidRPr="00561874" w:rsidRDefault="00074DC4" w:rsidP="00C65BE3">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Deficit nutné hotovosti</w:t>
            </w:r>
          </w:p>
        </w:tc>
        <w:tc>
          <w:tcPr>
            <w:tcW w:w="614"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80,5 %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68,9 %</w:t>
            </w:r>
          </w:p>
        </w:tc>
        <w:tc>
          <w:tcPr>
            <w:tcW w:w="615"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65,2 %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72,0 %</w:t>
            </w:r>
          </w:p>
        </w:tc>
      </w:tr>
      <w:tr w:rsidR="00074DC4" w:rsidRPr="00561874" w:rsidTr="00FF4035">
        <w:trPr>
          <w:trHeight w:val="302"/>
        </w:trPr>
        <w:tc>
          <w:tcPr>
            <w:tcW w:w="2542" w:type="pct"/>
            <w:gridSpan w:val="2"/>
            <w:tcBorders>
              <w:top w:val="single" w:sz="4" w:space="0" w:color="AEAEAE"/>
              <w:left w:val="single" w:sz="4" w:space="0" w:color="auto"/>
              <w:bottom w:val="single" w:sz="4" w:space="0" w:color="auto"/>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Total</w:t>
            </w:r>
          </w:p>
        </w:tc>
        <w:tc>
          <w:tcPr>
            <w:tcW w:w="614" w:type="pct"/>
            <w:tcBorders>
              <w:top w:val="nil"/>
              <w:left w:val="nil"/>
              <w:bottom w:val="single" w:sz="4" w:space="0" w:color="auto"/>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5" w:type="pct"/>
            <w:tcBorders>
              <w:top w:val="nil"/>
              <w:left w:val="nil"/>
              <w:bottom w:val="single" w:sz="4" w:space="0" w:color="auto"/>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4" w:type="pct"/>
            <w:tcBorders>
              <w:top w:val="nil"/>
              <w:left w:val="single" w:sz="4" w:space="0" w:color="E0E0E0"/>
              <w:bottom w:val="single" w:sz="4" w:space="0" w:color="auto"/>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r>
    </w:tbl>
    <w:p w:rsidR="00074DC4" w:rsidRDefault="00074DC4" w:rsidP="00074DC4">
      <w:pPr>
        <w:pStyle w:val="Bezmezer"/>
      </w:pPr>
    </w:p>
    <w:p w:rsidR="00FF4035" w:rsidRDefault="00FF4035" w:rsidP="00074DC4">
      <w:pPr>
        <w:pStyle w:val="Bezmezer"/>
        <w:rPr>
          <w:b/>
        </w:rPr>
      </w:pPr>
    </w:p>
    <w:p w:rsidR="00074DC4" w:rsidRPr="004515E5" w:rsidRDefault="00074DC4" w:rsidP="00074DC4">
      <w:pPr>
        <w:pStyle w:val="Bezmezer"/>
        <w:rPr>
          <w:b/>
        </w:rPr>
      </w:pPr>
      <w:r w:rsidRPr="004515E5">
        <w:rPr>
          <w:b/>
        </w:rPr>
        <w:t>Polarita primárních NSPK</w:t>
      </w:r>
    </w:p>
    <w:p w:rsidR="004515E5" w:rsidRDefault="004515E5" w:rsidP="00074DC4">
      <w:pPr>
        <w:pStyle w:val="Bezmezer"/>
      </w:pPr>
    </w:p>
    <w:p w:rsidR="00FF4035" w:rsidRDefault="00FF4035" w:rsidP="00FF4035">
      <w:pPr>
        <w:pStyle w:val="Titulek"/>
        <w:keepNext/>
      </w:pPr>
      <w:bookmarkStart w:id="138" w:name="_Toc31054831"/>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55</w:t>
      </w:r>
      <w:r w:rsidR="00163A91">
        <w:rPr>
          <w:noProof/>
        </w:rPr>
        <w:fldChar w:fldCharType="end"/>
      </w:r>
      <w:r>
        <w:t xml:space="preserve"> Polarita primárních NSPK</w:t>
      </w:r>
      <w:bookmarkEnd w:id="138"/>
    </w:p>
    <w:tbl>
      <w:tblPr>
        <w:tblW w:w="5000" w:type="pct"/>
        <w:tblCellMar>
          <w:left w:w="70" w:type="dxa"/>
          <w:right w:w="70" w:type="dxa"/>
        </w:tblCellMar>
        <w:tblLook w:val="04A0"/>
      </w:tblPr>
      <w:tblGrid>
        <w:gridCol w:w="2066"/>
        <w:gridCol w:w="2620"/>
        <w:gridCol w:w="1131"/>
        <w:gridCol w:w="1131"/>
        <w:gridCol w:w="1133"/>
        <w:gridCol w:w="1131"/>
      </w:tblGrid>
      <w:tr w:rsidR="00074DC4" w:rsidRPr="00561874" w:rsidTr="00C65BE3">
        <w:trPr>
          <w:trHeight w:val="271"/>
        </w:trPr>
        <w:tc>
          <w:tcPr>
            <w:tcW w:w="2542"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3" w:type="pct"/>
            <w:gridSpan w:val="3"/>
            <w:tcBorders>
              <w:top w:val="single" w:sz="4" w:space="0" w:color="auto"/>
              <w:left w:val="nil"/>
              <w:bottom w:val="nil"/>
              <w:right w:val="nil"/>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4"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Total</w:t>
            </w:r>
          </w:p>
        </w:tc>
      </w:tr>
      <w:tr w:rsidR="00074DC4" w:rsidRPr="00561874" w:rsidTr="00FF4035">
        <w:trPr>
          <w:trHeight w:val="543"/>
        </w:trPr>
        <w:tc>
          <w:tcPr>
            <w:tcW w:w="2542" w:type="pct"/>
            <w:gridSpan w:val="2"/>
            <w:vMerge/>
            <w:tcBorders>
              <w:top w:val="single" w:sz="4" w:space="0" w:color="auto"/>
              <w:left w:val="single" w:sz="4" w:space="0" w:color="auto"/>
              <w:bottom w:val="single" w:sz="4" w:space="0" w:color="152935"/>
              <w:right w:val="nil"/>
            </w:tcBorders>
            <w:vAlign w:val="center"/>
            <w:hideMark/>
          </w:tcPr>
          <w:p w:rsidR="00074DC4" w:rsidRPr="00561874" w:rsidRDefault="00074DC4" w:rsidP="00C65BE3">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5" w:type="pct"/>
            <w:tcBorders>
              <w:top w:val="nil"/>
              <w:left w:val="nil"/>
              <w:bottom w:val="single" w:sz="4" w:space="0" w:color="152935"/>
              <w:right w:val="nil"/>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4" w:type="pct"/>
            <w:vMerge/>
            <w:tcBorders>
              <w:top w:val="single" w:sz="4" w:space="0" w:color="auto"/>
              <w:left w:val="single" w:sz="4" w:space="0" w:color="E0E0E0"/>
              <w:bottom w:val="single" w:sz="4" w:space="0" w:color="152935"/>
              <w:right w:val="single" w:sz="4" w:space="0" w:color="auto"/>
            </w:tcBorders>
            <w:vAlign w:val="center"/>
            <w:hideMark/>
          </w:tcPr>
          <w:p w:rsidR="00074DC4" w:rsidRPr="00561874" w:rsidRDefault="00074DC4" w:rsidP="00C65BE3">
            <w:pPr>
              <w:spacing w:after="0" w:line="240" w:lineRule="auto"/>
              <w:rPr>
                <w:rFonts w:eastAsia="Times New Roman" w:cs="Calibri"/>
                <w:sz w:val="20"/>
                <w:szCs w:val="20"/>
                <w:lang w:eastAsia="cs-CZ"/>
              </w:rPr>
            </w:pPr>
          </w:p>
        </w:tc>
      </w:tr>
      <w:tr w:rsidR="00074DC4" w:rsidRPr="00561874" w:rsidTr="00FF4035">
        <w:trPr>
          <w:trHeight w:val="271"/>
        </w:trPr>
        <w:tc>
          <w:tcPr>
            <w:tcW w:w="1121" w:type="pct"/>
            <w:vMerge w:val="restart"/>
            <w:tcBorders>
              <w:top w:val="nil"/>
              <w:left w:val="single" w:sz="4" w:space="0" w:color="auto"/>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2" w:type="pct"/>
            <w:tcBorders>
              <w:top w:val="nil"/>
              <w:left w:val="nil"/>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Kladné primární NSPK</w:t>
            </w:r>
          </w:p>
        </w:tc>
        <w:tc>
          <w:tcPr>
            <w:tcW w:w="614"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86,7 %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87,2 %</w:t>
            </w:r>
          </w:p>
        </w:tc>
        <w:tc>
          <w:tcPr>
            <w:tcW w:w="615"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86,8 %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86,9 %</w:t>
            </w:r>
          </w:p>
        </w:tc>
      </w:tr>
      <w:tr w:rsidR="00074DC4" w:rsidRPr="00561874" w:rsidTr="00FF4035">
        <w:trPr>
          <w:trHeight w:val="271"/>
        </w:trPr>
        <w:tc>
          <w:tcPr>
            <w:tcW w:w="1121" w:type="pct"/>
            <w:vMerge/>
            <w:tcBorders>
              <w:top w:val="nil"/>
              <w:left w:val="single" w:sz="4" w:space="0" w:color="auto"/>
              <w:bottom w:val="single" w:sz="4" w:space="0" w:color="AEAEAE"/>
              <w:right w:val="nil"/>
            </w:tcBorders>
            <w:vAlign w:val="center"/>
            <w:hideMark/>
          </w:tcPr>
          <w:p w:rsidR="00074DC4" w:rsidRPr="00561874" w:rsidRDefault="00074DC4" w:rsidP="00C65BE3">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Záporné primární NSPK</w:t>
            </w:r>
          </w:p>
        </w:tc>
        <w:tc>
          <w:tcPr>
            <w:tcW w:w="614"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13,3 %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12,8 %</w:t>
            </w:r>
          </w:p>
        </w:tc>
        <w:tc>
          <w:tcPr>
            <w:tcW w:w="615"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13,2 %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13,1 %</w:t>
            </w:r>
          </w:p>
        </w:tc>
      </w:tr>
      <w:tr w:rsidR="00074DC4" w:rsidRPr="00561874" w:rsidTr="00FF4035">
        <w:trPr>
          <w:trHeight w:val="271"/>
        </w:trPr>
        <w:tc>
          <w:tcPr>
            <w:tcW w:w="2542" w:type="pct"/>
            <w:gridSpan w:val="2"/>
            <w:tcBorders>
              <w:top w:val="single" w:sz="4" w:space="0" w:color="AEAEAE"/>
              <w:left w:val="single" w:sz="4" w:space="0" w:color="auto"/>
              <w:bottom w:val="single" w:sz="4" w:space="0" w:color="152935"/>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Total</w:t>
            </w:r>
          </w:p>
        </w:tc>
        <w:tc>
          <w:tcPr>
            <w:tcW w:w="614" w:type="pct"/>
            <w:tcBorders>
              <w:top w:val="nil"/>
              <w:left w:val="nil"/>
              <w:bottom w:val="single" w:sz="4" w:space="0" w:color="152935"/>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5" w:type="pct"/>
            <w:tcBorders>
              <w:top w:val="nil"/>
              <w:left w:val="nil"/>
              <w:bottom w:val="single" w:sz="4" w:space="0" w:color="152935"/>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4" w:type="pct"/>
            <w:tcBorders>
              <w:top w:val="nil"/>
              <w:left w:val="single" w:sz="4" w:space="0" w:color="E0E0E0"/>
              <w:bottom w:val="single" w:sz="4" w:space="0" w:color="152935"/>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r>
      <w:tr w:rsidR="00074DC4" w:rsidRPr="00561874" w:rsidTr="00FF4035">
        <w:trPr>
          <w:trHeight w:val="271"/>
        </w:trPr>
        <w:tc>
          <w:tcPr>
            <w:tcW w:w="1121" w:type="pct"/>
            <w:vMerge w:val="restart"/>
            <w:tcBorders>
              <w:top w:val="nil"/>
              <w:left w:val="single" w:sz="4" w:space="0" w:color="auto"/>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2" w:type="pct"/>
            <w:tcBorders>
              <w:top w:val="nil"/>
              <w:left w:val="nil"/>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Kladné primární NSPK</w:t>
            </w:r>
          </w:p>
        </w:tc>
        <w:tc>
          <w:tcPr>
            <w:tcW w:w="614"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61,1 %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67,1 %</w:t>
            </w:r>
          </w:p>
        </w:tc>
        <w:tc>
          <w:tcPr>
            <w:tcW w:w="615"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71,7 %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66,3 %</w:t>
            </w:r>
          </w:p>
        </w:tc>
      </w:tr>
      <w:tr w:rsidR="00074DC4" w:rsidRPr="00561874" w:rsidTr="00FF4035">
        <w:trPr>
          <w:trHeight w:val="271"/>
        </w:trPr>
        <w:tc>
          <w:tcPr>
            <w:tcW w:w="1121" w:type="pct"/>
            <w:vMerge/>
            <w:tcBorders>
              <w:top w:val="nil"/>
              <w:left w:val="single" w:sz="4" w:space="0" w:color="auto"/>
              <w:bottom w:val="single" w:sz="4" w:space="0" w:color="AEAEAE"/>
              <w:right w:val="nil"/>
            </w:tcBorders>
            <w:vAlign w:val="center"/>
            <w:hideMark/>
          </w:tcPr>
          <w:p w:rsidR="00074DC4" w:rsidRPr="00561874" w:rsidRDefault="00074DC4" w:rsidP="00C65BE3">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Záporné primární NSPK</w:t>
            </w:r>
          </w:p>
        </w:tc>
        <w:tc>
          <w:tcPr>
            <w:tcW w:w="614"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38,9 %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32,9 %</w:t>
            </w:r>
          </w:p>
        </w:tc>
        <w:tc>
          <w:tcPr>
            <w:tcW w:w="615"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28,3 %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33,7 %</w:t>
            </w:r>
          </w:p>
        </w:tc>
      </w:tr>
      <w:tr w:rsidR="00074DC4" w:rsidRPr="00561874" w:rsidTr="00FF4035">
        <w:trPr>
          <w:trHeight w:val="271"/>
        </w:trPr>
        <w:tc>
          <w:tcPr>
            <w:tcW w:w="2542" w:type="pct"/>
            <w:gridSpan w:val="2"/>
            <w:tcBorders>
              <w:top w:val="single" w:sz="4" w:space="0" w:color="AEAEAE"/>
              <w:left w:val="single" w:sz="4" w:space="0" w:color="auto"/>
              <w:bottom w:val="single" w:sz="4" w:space="0" w:color="auto"/>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Total</w:t>
            </w:r>
          </w:p>
        </w:tc>
        <w:tc>
          <w:tcPr>
            <w:tcW w:w="614" w:type="pct"/>
            <w:tcBorders>
              <w:top w:val="nil"/>
              <w:left w:val="nil"/>
              <w:bottom w:val="single" w:sz="4" w:space="0" w:color="auto"/>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5" w:type="pct"/>
            <w:tcBorders>
              <w:top w:val="nil"/>
              <w:left w:val="nil"/>
              <w:bottom w:val="single" w:sz="4" w:space="0" w:color="auto"/>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4" w:type="pct"/>
            <w:tcBorders>
              <w:top w:val="nil"/>
              <w:left w:val="single" w:sz="4" w:space="0" w:color="E0E0E0"/>
              <w:bottom w:val="single" w:sz="4" w:space="0" w:color="auto"/>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r>
    </w:tbl>
    <w:p w:rsidR="00074DC4" w:rsidRDefault="00074DC4" w:rsidP="00074DC4">
      <w:pPr>
        <w:pStyle w:val="Bezmezer"/>
      </w:pPr>
    </w:p>
    <w:p w:rsidR="000E79E9" w:rsidRDefault="000E79E9" w:rsidP="00074DC4">
      <w:pPr>
        <w:pStyle w:val="Bezmezer"/>
        <w:rPr>
          <w:b/>
        </w:rPr>
      </w:pPr>
    </w:p>
    <w:p w:rsidR="000E79E9" w:rsidRDefault="000E79E9" w:rsidP="00074DC4">
      <w:pPr>
        <w:pStyle w:val="Bezmezer"/>
        <w:rPr>
          <w:b/>
        </w:rPr>
      </w:pPr>
    </w:p>
    <w:p w:rsidR="000E79E9" w:rsidRDefault="000E79E9" w:rsidP="00074DC4">
      <w:pPr>
        <w:pStyle w:val="Bezmezer"/>
        <w:rPr>
          <w:b/>
        </w:rPr>
      </w:pPr>
    </w:p>
    <w:p w:rsidR="000E79E9" w:rsidRDefault="000E79E9" w:rsidP="00074DC4">
      <w:pPr>
        <w:pStyle w:val="Bezmezer"/>
        <w:rPr>
          <w:b/>
        </w:rPr>
      </w:pPr>
    </w:p>
    <w:p w:rsidR="000E79E9" w:rsidRDefault="000E79E9" w:rsidP="00074DC4">
      <w:pPr>
        <w:pStyle w:val="Bezmezer"/>
        <w:rPr>
          <w:b/>
        </w:rPr>
      </w:pPr>
    </w:p>
    <w:p w:rsidR="000E79E9" w:rsidRDefault="000E79E9" w:rsidP="00074DC4">
      <w:pPr>
        <w:pStyle w:val="Bezmezer"/>
        <w:rPr>
          <w:b/>
        </w:rPr>
      </w:pPr>
    </w:p>
    <w:p w:rsidR="00074DC4" w:rsidRPr="004515E5" w:rsidRDefault="00074DC4" w:rsidP="00074DC4">
      <w:pPr>
        <w:pStyle w:val="Bezmezer"/>
        <w:rPr>
          <w:b/>
        </w:rPr>
      </w:pPr>
      <w:r w:rsidRPr="004515E5">
        <w:rPr>
          <w:b/>
        </w:rPr>
        <w:t>Polarita NSPK (celkových)</w:t>
      </w:r>
    </w:p>
    <w:p w:rsidR="004515E5" w:rsidRDefault="004515E5" w:rsidP="00074DC4">
      <w:pPr>
        <w:pStyle w:val="Bezmezer"/>
      </w:pPr>
    </w:p>
    <w:p w:rsidR="00FF4035" w:rsidRDefault="00FF4035" w:rsidP="00FF4035">
      <w:pPr>
        <w:pStyle w:val="Titulek"/>
        <w:keepNext/>
      </w:pPr>
      <w:bookmarkStart w:id="139" w:name="_Toc31054832"/>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56</w:t>
      </w:r>
      <w:r w:rsidR="00163A91">
        <w:rPr>
          <w:noProof/>
        </w:rPr>
        <w:fldChar w:fldCharType="end"/>
      </w:r>
      <w:r>
        <w:t xml:space="preserve"> Polarita NSPK (celkových)</w:t>
      </w:r>
      <w:bookmarkEnd w:id="139"/>
    </w:p>
    <w:tbl>
      <w:tblPr>
        <w:tblW w:w="5000" w:type="pct"/>
        <w:tblCellMar>
          <w:left w:w="70" w:type="dxa"/>
          <w:right w:w="70" w:type="dxa"/>
        </w:tblCellMar>
        <w:tblLook w:val="04A0"/>
      </w:tblPr>
      <w:tblGrid>
        <w:gridCol w:w="2064"/>
        <w:gridCol w:w="2620"/>
        <w:gridCol w:w="1131"/>
        <w:gridCol w:w="1131"/>
        <w:gridCol w:w="1135"/>
        <w:gridCol w:w="1131"/>
      </w:tblGrid>
      <w:tr w:rsidR="00074DC4" w:rsidRPr="00561874" w:rsidTr="00C65BE3">
        <w:trPr>
          <w:trHeight w:val="262"/>
        </w:trPr>
        <w:tc>
          <w:tcPr>
            <w:tcW w:w="2542"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4" w:type="pct"/>
            <w:gridSpan w:val="3"/>
            <w:tcBorders>
              <w:top w:val="single" w:sz="4" w:space="0" w:color="auto"/>
              <w:left w:val="nil"/>
              <w:bottom w:val="nil"/>
              <w:right w:val="nil"/>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4"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Total</w:t>
            </w:r>
          </w:p>
        </w:tc>
      </w:tr>
      <w:tr w:rsidR="00074DC4" w:rsidRPr="00561874" w:rsidTr="00FF4035">
        <w:trPr>
          <w:trHeight w:val="525"/>
        </w:trPr>
        <w:tc>
          <w:tcPr>
            <w:tcW w:w="2542" w:type="pct"/>
            <w:gridSpan w:val="2"/>
            <w:vMerge/>
            <w:tcBorders>
              <w:top w:val="single" w:sz="4" w:space="0" w:color="auto"/>
              <w:left w:val="single" w:sz="4" w:space="0" w:color="auto"/>
              <w:bottom w:val="single" w:sz="4" w:space="0" w:color="152935"/>
              <w:right w:val="nil"/>
            </w:tcBorders>
            <w:vAlign w:val="center"/>
            <w:hideMark/>
          </w:tcPr>
          <w:p w:rsidR="00074DC4" w:rsidRPr="00561874" w:rsidRDefault="00074DC4" w:rsidP="00C65BE3">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6" w:type="pct"/>
            <w:tcBorders>
              <w:top w:val="nil"/>
              <w:left w:val="nil"/>
              <w:bottom w:val="single" w:sz="4" w:space="0" w:color="152935"/>
              <w:right w:val="nil"/>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4" w:type="pct"/>
            <w:vMerge/>
            <w:tcBorders>
              <w:top w:val="single" w:sz="4" w:space="0" w:color="auto"/>
              <w:left w:val="single" w:sz="4" w:space="0" w:color="E0E0E0"/>
              <w:bottom w:val="single" w:sz="4" w:space="0" w:color="152935"/>
              <w:right w:val="single" w:sz="4" w:space="0" w:color="auto"/>
            </w:tcBorders>
            <w:vAlign w:val="center"/>
            <w:hideMark/>
          </w:tcPr>
          <w:p w:rsidR="00074DC4" w:rsidRPr="00561874" w:rsidRDefault="00074DC4" w:rsidP="00C65BE3">
            <w:pPr>
              <w:spacing w:after="0" w:line="240" w:lineRule="auto"/>
              <w:rPr>
                <w:rFonts w:eastAsia="Times New Roman" w:cs="Calibri"/>
                <w:sz w:val="20"/>
                <w:szCs w:val="20"/>
                <w:lang w:eastAsia="cs-CZ"/>
              </w:rPr>
            </w:pPr>
          </w:p>
        </w:tc>
      </w:tr>
      <w:tr w:rsidR="00074DC4" w:rsidRPr="00561874" w:rsidTr="00FF4035">
        <w:trPr>
          <w:trHeight w:val="262"/>
        </w:trPr>
        <w:tc>
          <w:tcPr>
            <w:tcW w:w="1120" w:type="pct"/>
            <w:vMerge w:val="restart"/>
            <w:tcBorders>
              <w:top w:val="nil"/>
              <w:left w:val="single" w:sz="4" w:space="0" w:color="auto"/>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2" w:type="pct"/>
            <w:tcBorders>
              <w:top w:val="nil"/>
              <w:left w:val="nil"/>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Kladné NSPK</w:t>
            </w:r>
          </w:p>
        </w:tc>
        <w:tc>
          <w:tcPr>
            <w:tcW w:w="614"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62,8 %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62,6 %</w:t>
            </w:r>
          </w:p>
        </w:tc>
        <w:tc>
          <w:tcPr>
            <w:tcW w:w="616"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61,6 %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62,4 %</w:t>
            </w:r>
          </w:p>
        </w:tc>
      </w:tr>
      <w:tr w:rsidR="00074DC4" w:rsidRPr="00561874" w:rsidTr="00FF4035">
        <w:trPr>
          <w:trHeight w:val="262"/>
        </w:trPr>
        <w:tc>
          <w:tcPr>
            <w:tcW w:w="1120" w:type="pct"/>
            <w:vMerge/>
            <w:tcBorders>
              <w:top w:val="nil"/>
              <w:left w:val="single" w:sz="4" w:space="0" w:color="auto"/>
              <w:bottom w:val="single" w:sz="4" w:space="0" w:color="AEAEAE"/>
              <w:right w:val="nil"/>
            </w:tcBorders>
            <w:vAlign w:val="center"/>
            <w:hideMark/>
          </w:tcPr>
          <w:p w:rsidR="00074DC4" w:rsidRPr="00561874" w:rsidRDefault="00074DC4" w:rsidP="00C65BE3">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Záporné NSPK</w:t>
            </w:r>
          </w:p>
        </w:tc>
        <w:tc>
          <w:tcPr>
            <w:tcW w:w="614"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37,2 %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37,4 %</w:t>
            </w:r>
          </w:p>
        </w:tc>
        <w:tc>
          <w:tcPr>
            <w:tcW w:w="616"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38,4 %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37,6 %</w:t>
            </w:r>
          </w:p>
        </w:tc>
      </w:tr>
      <w:tr w:rsidR="00074DC4" w:rsidRPr="00561874" w:rsidTr="00FF4035">
        <w:trPr>
          <w:trHeight w:val="262"/>
        </w:trPr>
        <w:tc>
          <w:tcPr>
            <w:tcW w:w="2542" w:type="pct"/>
            <w:gridSpan w:val="2"/>
            <w:tcBorders>
              <w:top w:val="single" w:sz="4" w:space="0" w:color="AEAEAE"/>
              <w:left w:val="single" w:sz="4" w:space="0" w:color="auto"/>
              <w:bottom w:val="single" w:sz="4" w:space="0" w:color="152935"/>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Total</w:t>
            </w:r>
          </w:p>
        </w:tc>
        <w:tc>
          <w:tcPr>
            <w:tcW w:w="614" w:type="pct"/>
            <w:tcBorders>
              <w:top w:val="nil"/>
              <w:left w:val="nil"/>
              <w:bottom w:val="single" w:sz="4" w:space="0" w:color="152935"/>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6" w:type="pct"/>
            <w:tcBorders>
              <w:top w:val="nil"/>
              <w:left w:val="nil"/>
              <w:bottom w:val="single" w:sz="4" w:space="0" w:color="152935"/>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4" w:type="pct"/>
            <w:tcBorders>
              <w:top w:val="nil"/>
              <w:left w:val="single" w:sz="4" w:space="0" w:color="E0E0E0"/>
              <w:bottom w:val="single" w:sz="4" w:space="0" w:color="152935"/>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r>
      <w:tr w:rsidR="00074DC4" w:rsidRPr="00561874" w:rsidTr="00FF4035">
        <w:trPr>
          <w:trHeight w:val="262"/>
        </w:trPr>
        <w:tc>
          <w:tcPr>
            <w:tcW w:w="1120" w:type="pct"/>
            <w:vMerge w:val="restart"/>
            <w:tcBorders>
              <w:top w:val="nil"/>
              <w:left w:val="single" w:sz="4" w:space="0" w:color="auto"/>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2" w:type="pct"/>
            <w:tcBorders>
              <w:top w:val="nil"/>
              <w:left w:val="nil"/>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Kladné NSPK</w:t>
            </w:r>
          </w:p>
        </w:tc>
        <w:tc>
          <w:tcPr>
            <w:tcW w:w="614"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24,8 %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38,1 %</w:t>
            </w:r>
          </w:p>
        </w:tc>
        <w:tc>
          <w:tcPr>
            <w:tcW w:w="616"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43,8 %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35,0 %</w:t>
            </w:r>
          </w:p>
        </w:tc>
      </w:tr>
      <w:tr w:rsidR="00074DC4" w:rsidRPr="00561874" w:rsidTr="00FF4035">
        <w:trPr>
          <w:trHeight w:val="262"/>
        </w:trPr>
        <w:tc>
          <w:tcPr>
            <w:tcW w:w="1120" w:type="pct"/>
            <w:vMerge/>
            <w:tcBorders>
              <w:top w:val="nil"/>
              <w:left w:val="single" w:sz="4" w:space="0" w:color="auto"/>
              <w:bottom w:val="single" w:sz="4" w:space="0" w:color="AEAEAE"/>
              <w:right w:val="nil"/>
            </w:tcBorders>
            <w:vAlign w:val="center"/>
            <w:hideMark/>
          </w:tcPr>
          <w:p w:rsidR="00074DC4" w:rsidRPr="00561874" w:rsidRDefault="00074DC4" w:rsidP="00C65BE3">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Záporné NSPK</w:t>
            </w:r>
          </w:p>
        </w:tc>
        <w:tc>
          <w:tcPr>
            <w:tcW w:w="614"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75,2 %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61,9 %</w:t>
            </w:r>
          </w:p>
        </w:tc>
        <w:tc>
          <w:tcPr>
            <w:tcW w:w="616"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56,2 %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65,0 %</w:t>
            </w:r>
          </w:p>
        </w:tc>
      </w:tr>
      <w:tr w:rsidR="00074DC4" w:rsidRPr="00561874" w:rsidTr="00FF4035">
        <w:trPr>
          <w:trHeight w:val="262"/>
        </w:trPr>
        <w:tc>
          <w:tcPr>
            <w:tcW w:w="2542" w:type="pct"/>
            <w:gridSpan w:val="2"/>
            <w:tcBorders>
              <w:top w:val="single" w:sz="4" w:space="0" w:color="AEAEAE"/>
              <w:left w:val="single" w:sz="4" w:space="0" w:color="auto"/>
              <w:bottom w:val="single" w:sz="4" w:space="0" w:color="auto"/>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Total</w:t>
            </w:r>
          </w:p>
        </w:tc>
        <w:tc>
          <w:tcPr>
            <w:tcW w:w="614" w:type="pct"/>
            <w:tcBorders>
              <w:top w:val="nil"/>
              <w:left w:val="nil"/>
              <w:bottom w:val="single" w:sz="4" w:space="0" w:color="auto"/>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6" w:type="pct"/>
            <w:tcBorders>
              <w:top w:val="nil"/>
              <w:left w:val="nil"/>
              <w:bottom w:val="single" w:sz="4" w:space="0" w:color="auto"/>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4" w:type="pct"/>
            <w:tcBorders>
              <w:top w:val="nil"/>
              <w:left w:val="single" w:sz="4" w:space="0" w:color="E0E0E0"/>
              <w:bottom w:val="single" w:sz="4" w:space="0" w:color="auto"/>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r>
    </w:tbl>
    <w:p w:rsidR="00074DC4" w:rsidRDefault="00074DC4" w:rsidP="00074DC4">
      <w:pPr>
        <w:rPr>
          <w:szCs w:val="24"/>
        </w:rPr>
      </w:pPr>
    </w:p>
    <w:p w:rsidR="00074DC4" w:rsidRDefault="00074DC4" w:rsidP="00074DC4">
      <w:r w:rsidRPr="00011AAC">
        <w:rPr>
          <w:szCs w:val="24"/>
        </w:rPr>
        <w:t>Stejně tak jsou v období jednoho roku před zjištěním úpadku významné rozdíly v četnosti polarit ukazatelů pracovního kapitálu, kde v průměru více než 70 % všech podniků se zápornou hodnotou ukazatelů pracovního kapitálu připadá na podniky úpadkové.</w:t>
      </w:r>
      <w:r w:rsidR="000E79E9">
        <w:rPr>
          <w:szCs w:val="24"/>
        </w:rPr>
        <w:t xml:space="preserve"> </w:t>
      </w:r>
      <w:r>
        <w:t>Také u ukazatelů relativní četnosti záporných hodnot ukazatelů pracovního kapitálu v období dvou let před zjištěním úpadku je patrný značný rozdíl mezi úpadkovými a bezproblémovými podniky, když podstatná část těchto záporných hodnot připadá opět na podniky úpadkové, i když oproti období jednoho roku před zjištěním úpadku dochází k mírnému snížení této četnosti.</w:t>
      </w:r>
      <w:r w:rsidR="000E79E9">
        <w:t xml:space="preserve"> </w:t>
      </w:r>
      <w:r>
        <w:t>Také u polarit ukazatelů pracovního kapitálu je patrné, že ani tři roky před zjištěním úpadku nedochází k relevantní změně relativních četností záporné úrovně těchto ukazatelů u úpadkových podniků. Navzdory tomu, že je pozorovatelné určité zlepšení oproti předchozím obdobím, je rozdíl mezi úpadkovými a bezproblémovými podniky i v období tří let před zjištěním úpadku stále signifikantní.</w:t>
      </w:r>
    </w:p>
    <w:p w:rsidR="004515E5" w:rsidRDefault="004515E5" w:rsidP="00074DC4"/>
    <w:p w:rsidR="00074DC4" w:rsidRDefault="00074DC4" w:rsidP="005A5A62">
      <w:pPr>
        <w:pStyle w:val="Nadpis4"/>
        <w:numPr>
          <w:ilvl w:val="3"/>
          <w:numId w:val="16"/>
        </w:numPr>
      </w:pPr>
      <w:r w:rsidRPr="00DD452C">
        <w:t>Polarita ukazatelů kapitálové struktury</w:t>
      </w:r>
    </w:p>
    <w:p w:rsidR="00074DC4" w:rsidRDefault="00074DC4" w:rsidP="000E79E9">
      <w:pPr>
        <w:pStyle w:val="Bezmezer"/>
        <w:spacing w:before="120" w:after="240"/>
        <w:rPr>
          <w:b/>
        </w:rPr>
      </w:pPr>
      <w:r w:rsidRPr="004515E5">
        <w:rPr>
          <w:b/>
        </w:rPr>
        <w:t>Polarita financování dlouhodobého majetku</w:t>
      </w:r>
    </w:p>
    <w:p w:rsidR="00FF4035" w:rsidRDefault="00FF4035" w:rsidP="00FF4035">
      <w:pPr>
        <w:pStyle w:val="Titulek"/>
        <w:keepNext/>
      </w:pPr>
      <w:bookmarkStart w:id="140" w:name="_Toc31054833"/>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57</w:t>
      </w:r>
      <w:r w:rsidR="00163A91">
        <w:rPr>
          <w:noProof/>
        </w:rPr>
        <w:fldChar w:fldCharType="end"/>
      </w:r>
      <w:r>
        <w:t xml:space="preserve"> Polarita financování dlouhodobého majetku</w:t>
      </w:r>
      <w:bookmarkEnd w:id="140"/>
    </w:p>
    <w:tbl>
      <w:tblPr>
        <w:tblW w:w="5000" w:type="pct"/>
        <w:tblCellMar>
          <w:left w:w="70" w:type="dxa"/>
          <w:right w:w="70" w:type="dxa"/>
        </w:tblCellMar>
        <w:tblLook w:val="04A0"/>
      </w:tblPr>
      <w:tblGrid>
        <w:gridCol w:w="2066"/>
        <w:gridCol w:w="2620"/>
        <w:gridCol w:w="1131"/>
        <w:gridCol w:w="1131"/>
        <w:gridCol w:w="1133"/>
        <w:gridCol w:w="1131"/>
      </w:tblGrid>
      <w:tr w:rsidR="00074DC4" w:rsidRPr="00561874" w:rsidTr="00C65BE3">
        <w:trPr>
          <w:trHeight w:val="278"/>
        </w:trPr>
        <w:tc>
          <w:tcPr>
            <w:tcW w:w="2542"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3" w:type="pct"/>
            <w:gridSpan w:val="3"/>
            <w:tcBorders>
              <w:top w:val="single" w:sz="4" w:space="0" w:color="auto"/>
              <w:left w:val="nil"/>
              <w:bottom w:val="nil"/>
              <w:right w:val="nil"/>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4"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Total</w:t>
            </w:r>
          </w:p>
        </w:tc>
      </w:tr>
      <w:tr w:rsidR="00074DC4" w:rsidRPr="00561874" w:rsidTr="00FF4035">
        <w:trPr>
          <w:trHeight w:val="556"/>
        </w:trPr>
        <w:tc>
          <w:tcPr>
            <w:tcW w:w="2542" w:type="pct"/>
            <w:gridSpan w:val="2"/>
            <w:vMerge/>
            <w:tcBorders>
              <w:top w:val="single" w:sz="4" w:space="0" w:color="auto"/>
              <w:left w:val="single" w:sz="4" w:space="0" w:color="auto"/>
              <w:bottom w:val="single" w:sz="4" w:space="0" w:color="152935"/>
              <w:right w:val="nil"/>
            </w:tcBorders>
            <w:vAlign w:val="center"/>
            <w:hideMark/>
          </w:tcPr>
          <w:p w:rsidR="00074DC4" w:rsidRPr="00561874" w:rsidRDefault="00074DC4" w:rsidP="00C65BE3">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5" w:type="pct"/>
            <w:tcBorders>
              <w:top w:val="nil"/>
              <w:left w:val="nil"/>
              <w:bottom w:val="single" w:sz="4" w:space="0" w:color="152935"/>
              <w:right w:val="nil"/>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4" w:type="pct"/>
            <w:vMerge/>
            <w:tcBorders>
              <w:top w:val="single" w:sz="4" w:space="0" w:color="auto"/>
              <w:left w:val="single" w:sz="4" w:space="0" w:color="E0E0E0"/>
              <w:bottom w:val="single" w:sz="4" w:space="0" w:color="152935"/>
              <w:right w:val="single" w:sz="4" w:space="0" w:color="auto"/>
            </w:tcBorders>
            <w:vAlign w:val="center"/>
            <w:hideMark/>
          </w:tcPr>
          <w:p w:rsidR="00074DC4" w:rsidRPr="00561874" w:rsidRDefault="00074DC4" w:rsidP="00C65BE3">
            <w:pPr>
              <w:spacing w:after="0" w:line="240" w:lineRule="auto"/>
              <w:rPr>
                <w:rFonts w:eastAsia="Times New Roman" w:cs="Calibri"/>
                <w:sz w:val="20"/>
                <w:szCs w:val="20"/>
                <w:lang w:eastAsia="cs-CZ"/>
              </w:rPr>
            </w:pPr>
          </w:p>
        </w:tc>
      </w:tr>
      <w:tr w:rsidR="00074DC4" w:rsidRPr="00561874" w:rsidTr="00FF4035">
        <w:trPr>
          <w:trHeight w:val="556"/>
        </w:trPr>
        <w:tc>
          <w:tcPr>
            <w:tcW w:w="1121" w:type="pct"/>
            <w:vMerge w:val="restart"/>
            <w:tcBorders>
              <w:top w:val="nil"/>
              <w:left w:val="single" w:sz="4" w:space="0" w:color="auto"/>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2" w:type="pct"/>
            <w:tcBorders>
              <w:top w:val="nil"/>
              <w:left w:val="nil"/>
              <w:bottom w:val="single" w:sz="4" w:space="0" w:color="AEAEAE"/>
              <w:right w:val="nil"/>
            </w:tcBorders>
            <w:shd w:val="clear" w:color="auto" w:fill="auto"/>
            <w:vAlign w:val="center"/>
            <w:hideMark/>
          </w:tcPr>
          <w:p w:rsidR="00074DC4" w:rsidRPr="00561874" w:rsidRDefault="00074DC4" w:rsidP="00C65BE3">
            <w:pPr>
              <w:spacing w:after="0" w:line="240" w:lineRule="auto"/>
              <w:jc w:val="left"/>
              <w:rPr>
                <w:rFonts w:eastAsia="Times New Roman" w:cs="Calibri"/>
                <w:b/>
                <w:bCs/>
                <w:sz w:val="20"/>
                <w:szCs w:val="20"/>
                <w:lang w:eastAsia="cs-CZ"/>
              </w:rPr>
            </w:pPr>
            <w:r w:rsidRPr="00561874">
              <w:rPr>
                <w:rFonts w:eastAsia="Times New Roman" w:cs="Calibri"/>
                <w:b/>
                <w:bCs/>
                <w:sz w:val="20"/>
                <w:szCs w:val="20"/>
                <w:lang w:eastAsia="cs-CZ"/>
              </w:rPr>
              <w:t>Kladný rozdíl dlouhodobého kapitálu a DIM</w:t>
            </w:r>
          </w:p>
        </w:tc>
        <w:tc>
          <w:tcPr>
            <w:tcW w:w="614"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76,9 %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76,3 %</w:t>
            </w:r>
          </w:p>
        </w:tc>
        <w:tc>
          <w:tcPr>
            <w:tcW w:w="615"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76,1 %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76,5 %</w:t>
            </w:r>
          </w:p>
        </w:tc>
      </w:tr>
      <w:tr w:rsidR="00074DC4" w:rsidRPr="00561874" w:rsidTr="00FF4035">
        <w:trPr>
          <w:trHeight w:val="556"/>
        </w:trPr>
        <w:tc>
          <w:tcPr>
            <w:tcW w:w="1121" w:type="pct"/>
            <w:vMerge/>
            <w:tcBorders>
              <w:top w:val="nil"/>
              <w:left w:val="single" w:sz="4" w:space="0" w:color="auto"/>
              <w:bottom w:val="single" w:sz="4" w:space="0" w:color="AEAEAE"/>
              <w:right w:val="nil"/>
            </w:tcBorders>
            <w:vAlign w:val="center"/>
            <w:hideMark/>
          </w:tcPr>
          <w:p w:rsidR="00074DC4" w:rsidRPr="00561874" w:rsidRDefault="00074DC4" w:rsidP="00C65BE3">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074DC4" w:rsidRPr="00561874" w:rsidRDefault="00074DC4" w:rsidP="00C65BE3">
            <w:pPr>
              <w:spacing w:after="0" w:line="240" w:lineRule="auto"/>
              <w:jc w:val="left"/>
              <w:rPr>
                <w:rFonts w:eastAsia="Times New Roman" w:cs="Calibri"/>
                <w:sz w:val="20"/>
                <w:szCs w:val="20"/>
                <w:lang w:eastAsia="cs-CZ"/>
              </w:rPr>
            </w:pPr>
            <w:r w:rsidRPr="00561874">
              <w:rPr>
                <w:rFonts w:eastAsia="Times New Roman" w:cs="Calibri"/>
                <w:sz w:val="20"/>
                <w:szCs w:val="20"/>
                <w:lang w:eastAsia="cs-CZ"/>
              </w:rPr>
              <w:t>Záporný rozdíl dlouhodobého kapitálu a DIM</w:t>
            </w:r>
          </w:p>
        </w:tc>
        <w:tc>
          <w:tcPr>
            <w:tcW w:w="614"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23,1 %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23,7 %</w:t>
            </w:r>
          </w:p>
        </w:tc>
        <w:tc>
          <w:tcPr>
            <w:tcW w:w="615"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23,9 %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23,5 %</w:t>
            </w:r>
          </w:p>
        </w:tc>
      </w:tr>
      <w:tr w:rsidR="00074DC4" w:rsidRPr="00561874" w:rsidTr="00FF4035">
        <w:trPr>
          <w:trHeight w:val="278"/>
        </w:trPr>
        <w:tc>
          <w:tcPr>
            <w:tcW w:w="2542" w:type="pct"/>
            <w:gridSpan w:val="2"/>
            <w:tcBorders>
              <w:top w:val="single" w:sz="4" w:space="0" w:color="AEAEAE"/>
              <w:left w:val="single" w:sz="4" w:space="0" w:color="auto"/>
              <w:bottom w:val="single" w:sz="4" w:space="0" w:color="152935"/>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Total</w:t>
            </w:r>
          </w:p>
        </w:tc>
        <w:tc>
          <w:tcPr>
            <w:tcW w:w="614" w:type="pct"/>
            <w:tcBorders>
              <w:top w:val="nil"/>
              <w:left w:val="nil"/>
              <w:bottom w:val="single" w:sz="4" w:space="0" w:color="152935"/>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5" w:type="pct"/>
            <w:tcBorders>
              <w:top w:val="nil"/>
              <w:left w:val="nil"/>
              <w:bottom w:val="single" w:sz="4" w:space="0" w:color="152935"/>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4" w:type="pct"/>
            <w:tcBorders>
              <w:top w:val="nil"/>
              <w:left w:val="single" w:sz="4" w:space="0" w:color="E0E0E0"/>
              <w:bottom w:val="single" w:sz="4" w:space="0" w:color="152935"/>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r>
      <w:tr w:rsidR="00074DC4" w:rsidRPr="00561874" w:rsidTr="00FF4035">
        <w:trPr>
          <w:trHeight w:val="556"/>
        </w:trPr>
        <w:tc>
          <w:tcPr>
            <w:tcW w:w="1121" w:type="pct"/>
            <w:vMerge w:val="restart"/>
            <w:tcBorders>
              <w:top w:val="nil"/>
              <w:left w:val="single" w:sz="4" w:space="0" w:color="auto"/>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2" w:type="pct"/>
            <w:tcBorders>
              <w:top w:val="nil"/>
              <w:left w:val="nil"/>
              <w:bottom w:val="single" w:sz="4" w:space="0" w:color="AEAEAE"/>
              <w:right w:val="nil"/>
            </w:tcBorders>
            <w:shd w:val="clear" w:color="auto" w:fill="auto"/>
            <w:vAlign w:val="center"/>
            <w:hideMark/>
          </w:tcPr>
          <w:p w:rsidR="00074DC4" w:rsidRPr="00561874" w:rsidRDefault="00074DC4" w:rsidP="00C65BE3">
            <w:pPr>
              <w:spacing w:after="0" w:line="240" w:lineRule="auto"/>
              <w:jc w:val="left"/>
              <w:rPr>
                <w:rFonts w:eastAsia="Times New Roman" w:cs="Calibri"/>
                <w:sz w:val="20"/>
                <w:szCs w:val="20"/>
                <w:lang w:eastAsia="cs-CZ"/>
              </w:rPr>
            </w:pPr>
            <w:r w:rsidRPr="00561874">
              <w:rPr>
                <w:rFonts w:eastAsia="Times New Roman" w:cs="Calibri"/>
                <w:sz w:val="20"/>
                <w:szCs w:val="20"/>
                <w:lang w:eastAsia="cs-CZ"/>
              </w:rPr>
              <w:t>Kladný rozdíl dlouhodobého kapitálu a DIM</w:t>
            </w:r>
          </w:p>
        </w:tc>
        <w:tc>
          <w:tcPr>
            <w:tcW w:w="614"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22,0 %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38,1 %</w:t>
            </w:r>
          </w:p>
        </w:tc>
        <w:tc>
          <w:tcPr>
            <w:tcW w:w="615"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44,8 %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34,3 %</w:t>
            </w:r>
          </w:p>
        </w:tc>
      </w:tr>
      <w:tr w:rsidR="00074DC4" w:rsidRPr="00561874" w:rsidTr="00FF4035">
        <w:trPr>
          <w:trHeight w:val="556"/>
        </w:trPr>
        <w:tc>
          <w:tcPr>
            <w:tcW w:w="1121" w:type="pct"/>
            <w:vMerge/>
            <w:tcBorders>
              <w:top w:val="nil"/>
              <w:left w:val="single" w:sz="4" w:space="0" w:color="auto"/>
              <w:bottom w:val="single" w:sz="4" w:space="0" w:color="AEAEAE"/>
              <w:right w:val="nil"/>
            </w:tcBorders>
            <w:vAlign w:val="center"/>
            <w:hideMark/>
          </w:tcPr>
          <w:p w:rsidR="00074DC4" w:rsidRPr="00561874" w:rsidRDefault="00074DC4" w:rsidP="00C65BE3">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074DC4" w:rsidRPr="00561874" w:rsidRDefault="00074DC4" w:rsidP="00C65BE3">
            <w:pPr>
              <w:spacing w:after="0" w:line="240" w:lineRule="auto"/>
              <w:jc w:val="left"/>
              <w:rPr>
                <w:rFonts w:eastAsia="Times New Roman" w:cs="Calibri"/>
                <w:b/>
                <w:bCs/>
                <w:sz w:val="20"/>
                <w:szCs w:val="20"/>
                <w:lang w:eastAsia="cs-CZ"/>
              </w:rPr>
            </w:pPr>
            <w:r w:rsidRPr="00561874">
              <w:rPr>
                <w:rFonts w:eastAsia="Times New Roman" w:cs="Calibri"/>
                <w:b/>
                <w:bCs/>
                <w:sz w:val="20"/>
                <w:szCs w:val="20"/>
                <w:lang w:eastAsia="cs-CZ"/>
              </w:rPr>
              <w:t>Záporný rozdíl dlouhodobého kapitálu a DIM</w:t>
            </w:r>
          </w:p>
        </w:tc>
        <w:tc>
          <w:tcPr>
            <w:tcW w:w="614"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78,0 %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61,9 %</w:t>
            </w:r>
          </w:p>
        </w:tc>
        <w:tc>
          <w:tcPr>
            <w:tcW w:w="615"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55,2 %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65,7 %</w:t>
            </w:r>
          </w:p>
        </w:tc>
      </w:tr>
      <w:tr w:rsidR="00074DC4" w:rsidRPr="00561874" w:rsidTr="00FF4035">
        <w:trPr>
          <w:trHeight w:val="278"/>
        </w:trPr>
        <w:tc>
          <w:tcPr>
            <w:tcW w:w="2542" w:type="pct"/>
            <w:gridSpan w:val="2"/>
            <w:tcBorders>
              <w:top w:val="single" w:sz="4" w:space="0" w:color="AEAEAE"/>
              <w:left w:val="single" w:sz="4" w:space="0" w:color="auto"/>
              <w:bottom w:val="single" w:sz="4" w:space="0" w:color="auto"/>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lastRenderedPageBreak/>
              <w:t>Total</w:t>
            </w:r>
          </w:p>
        </w:tc>
        <w:tc>
          <w:tcPr>
            <w:tcW w:w="614" w:type="pct"/>
            <w:tcBorders>
              <w:top w:val="nil"/>
              <w:left w:val="nil"/>
              <w:bottom w:val="single" w:sz="4" w:space="0" w:color="auto"/>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5" w:type="pct"/>
            <w:tcBorders>
              <w:top w:val="nil"/>
              <w:left w:val="nil"/>
              <w:bottom w:val="single" w:sz="4" w:space="0" w:color="auto"/>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4" w:type="pct"/>
            <w:tcBorders>
              <w:top w:val="nil"/>
              <w:left w:val="single" w:sz="4" w:space="0" w:color="E0E0E0"/>
              <w:bottom w:val="single" w:sz="4" w:space="0" w:color="auto"/>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r>
    </w:tbl>
    <w:p w:rsidR="00074DC4" w:rsidRDefault="00074DC4" w:rsidP="00074DC4">
      <w:pPr>
        <w:pStyle w:val="Bezmezer"/>
      </w:pPr>
    </w:p>
    <w:p w:rsidR="00FF4035" w:rsidRDefault="00FF4035" w:rsidP="00074DC4">
      <w:pPr>
        <w:pStyle w:val="Bezmezer"/>
      </w:pPr>
    </w:p>
    <w:p w:rsidR="00074DC4" w:rsidRDefault="00074DC4" w:rsidP="00074DC4">
      <w:pPr>
        <w:pStyle w:val="Bezmezer"/>
        <w:rPr>
          <w:b/>
        </w:rPr>
      </w:pPr>
      <w:r w:rsidRPr="004515E5">
        <w:rPr>
          <w:b/>
        </w:rPr>
        <w:t>Polarita vlastního kapitálu</w:t>
      </w:r>
    </w:p>
    <w:p w:rsidR="004515E5" w:rsidRDefault="004515E5" w:rsidP="00074DC4">
      <w:pPr>
        <w:pStyle w:val="Bezmezer"/>
      </w:pPr>
    </w:p>
    <w:p w:rsidR="00FF4035" w:rsidRDefault="00FF4035" w:rsidP="00FF4035">
      <w:pPr>
        <w:pStyle w:val="Titulek"/>
        <w:keepNext/>
      </w:pPr>
      <w:bookmarkStart w:id="141" w:name="_Toc31054834"/>
      <w:r>
        <w:t xml:space="preserve">Tabulka </w:t>
      </w:r>
      <w:r w:rsidR="00163A91">
        <w:rPr>
          <w:noProof/>
        </w:rPr>
        <w:fldChar w:fldCharType="begin"/>
      </w:r>
      <w:r w:rsidR="00335066">
        <w:rPr>
          <w:noProof/>
        </w:rPr>
        <w:instrText xml:space="preserve"> SEQ Tabulka \* ARABIC </w:instrText>
      </w:r>
      <w:r w:rsidR="00163A91">
        <w:rPr>
          <w:noProof/>
        </w:rPr>
        <w:fldChar w:fldCharType="separate"/>
      </w:r>
      <w:r w:rsidR="007C1EE6">
        <w:rPr>
          <w:noProof/>
        </w:rPr>
        <w:t>58</w:t>
      </w:r>
      <w:r w:rsidR="00163A91">
        <w:rPr>
          <w:noProof/>
        </w:rPr>
        <w:fldChar w:fldCharType="end"/>
      </w:r>
      <w:r>
        <w:t xml:space="preserve"> Polarita vlastního kapitálu</w:t>
      </w:r>
      <w:bookmarkEnd w:id="141"/>
    </w:p>
    <w:tbl>
      <w:tblPr>
        <w:tblW w:w="5000" w:type="pct"/>
        <w:tblCellMar>
          <w:left w:w="70" w:type="dxa"/>
          <w:right w:w="70" w:type="dxa"/>
        </w:tblCellMar>
        <w:tblLook w:val="04A0"/>
      </w:tblPr>
      <w:tblGrid>
        <w:gridCol w:w="2064"/>
        <w:gridCol w:w="2622"/>
        <w:gridCol w:w="1131"/>
        <w:gridCol w:w="1131"/>
        <w:gridCol w:w="1133"/>
        <w:gridCol w:w="1131"/>
      </w:tblGrid>
      <w:tr w:rsidR="00074DC4" w:rsidRPr="00561874" w:rsidTr="00FF4035">
        <w:trPr>
          <w:trHeight w:val="278"/>
        </w:trPr>
        <w:tc>
          <w:tcPr>
            <w:tcW w:w="2542"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3" w:type="pct"/>
            <w:gridSpan w:val="3"/>
            <w:tcBorders>
              <w:top w:val="single" w:sz="4" w:space="0" w:color="auto"/>
              <w:left w:val="nil"/>
              <w:bottom w:val="nil"/>
              <w:right w:val="nil"/>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4"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Total</w:t>
            </w:r>
          </w:p>
        </w:tc>
      </w:tr>
      <w:tr w:rsidR="00074DC4" w:rsidRPr="00561874" w:rsidTr="00FF4035">
        <w:trPr>
          <w:trHeight w:val="556"/>
        </w:trPr>
        <w:tc>
          <w:tcPr>
            <w:tcW w:w="2542" w:type="pct"/>
            <w:gridSpan w:val="2"/>
            <w:vMerge/>
            <w:tcBorders>
              <w:top w:val="single" w:sz="4" w:space="0" w:color="auto"/>
              <w:left w:val="single" w:sz="4" w:space="0" w:color="auto"/>
              <w:bottom w:val="single" w:sz="4" w:space="0" w:color="152935"/>
              <w:right w:val="nil"/>
            </w:tcBorders>
            <w:vAlign w:val="center"/>
            <w:hideMark/>
          </w:tcPr>
          <w:p w:rsidR="00074DC4" w:rsidRPr="00561874" w:rsidRDefault="00074DC4" w:rsidP="00C65BE3">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5" w:type="pct"/>
            <w:tcBorders>
              <w:top w:val="nil"/>
              <w:left w:val="nil"/>
              <w:bottom w:val="single" w:sz="4" w:space="0" w:color="152935"/>
              <w:right w:val="nil"/>
            </w:tcBorders>
            <w:shd w:val="clear" w:color="auto" w:fill="auto"/>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4" w:type="pct"/>
            <w:vMerge/>
            <w:tcBorders>
              <w:top w:val="single" w:sz="4" w:space="0" w:color="auto"/>
              <w:left w:val="single" w:sz="4" w:space="0" w:color="E0E0E0"/>
              <w:bottom w:val="single" w:sz="4" w:space="0" w:color="152935"/>
              <w:right w:val="single" w:sz="4" w:space="0" w:color="auto"/>
            </w:tcBorders>
            <w:vAlign w:val="center"/>
            <w:hideMark/>
          </w:tcPr>
          <w:p w:rsidR="00074DC4" w:rsidRPr="00561874" w:rsidRDefault="00074DC4" w:rsidP="00C65BE3">
            <w:pPr>
              <w:spacing w:after="0" w:line="240" w:lineRule="auto"/>
              <w:rPr>
                <w:rFonts w:eastAsia="Times New Roman" w:cs="Calibri"/>
                <w:sz w:val="20"/>
                <w:szCs w:val="20"/>
                <w:lang w:eastAsia="cs-CZ"/>
              </w:rPr>
            </w:pPr>
          </w:p>
        </w:tc>
      </w:tr>
      <w:tr w:rsidR="00074DC4" w:rsidRPr="00561874" w:rsidTr="00FF4035">
        <w:trPr>
          <w:trHeight w:val="278"/>
        </w:trPr>
        <w:tc>
          <w:tcPr>
            <w:tcW w:w="1120" w:type="pct"/>
            <w:vMerge w:val="restart"/>
            <w:tcBorders>
              <w:top w:val="nil"/>
              <w:left w:val="single" w:sz="4" w:space="0" w:color="auto"/>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3" w:type="pct"/>
            <w:tcBorders>
              <w:top w:val="nil"/>
              <w:left w:val="nil"/>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Kladný vlastní kapitál</w:t>
            </w:r>
          </w:p>
        </w:tc>
        <w:tc>
          <w:tcPr>
            <w:tcW w:w="614"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88,9 %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89,2 %</w:t>
            </w:r>
          </w:p>
        </w:tc>
        <w:tc>
          <w:tcPr>
            <w:tcW w:w="615"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88,6 %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88,9 %</w:t>
            </w:r>
          </w:p>
        </w:tc>
      </w:tr>
      <w:tr w:rsidR="00074DC4" w:rsidRPr="00561874" w:rsidTr="00FF4035">
        <w:trPr>
          <w:trHeight w:val="278"/>
        </w:trPr>
        <w:tc>
          <w:tcPr>
            <w:tcW w:w="1120" w:type="pct"/>
            <w:vMerge/>
            <w:tcBorders>
              <w:top w:val="nil"/>
              <w:left w:val="single" w:sz="4" w:space="0" w:color="auto"/>
              <w:bottom w:val="single" w:sz="4" w:space="0" w:color="AEAEAE"/>
              <w:right w:val="nil"/>
            </w:tcBorders>
            <w:vAlign w:val="center"/>
            <w:hideMark/>
          </w:tcPr>
          <w:p w:rsidR="00074DC4" w:rsidRPr="00561874" w:rsidRDefault="00074DC4" w:rsidP="00C65BE3">
            <w:pPr>
              <w:spacing w:after="0" w:line="240" w:lineRule="auto"/>
              <w:rPr>
                <w:rFonts w:eastAsia="Times New Roman" w:cs="Calibri"/>
                <w:sz w:val="20"/>
                <w:szCs w:val="20"/>
                <w:lang w:eastAsia="cs-CZ"/>
              </w:rPr>
            </w:pPr>
          </w:p>
        </w:tc>
        <w:tc>
          <w:tcPr>
            <w:tcW w:w="1423" w:type="pct"/>
            <w:tcBorders>
              <w:top w:val="nil"/>
              <w:left w:val="nil"/>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Záporný vlastní kapitál</w:t>
            </w:r>
          </w:p>
        </w:tc>
        <w:tc>
          <w:tcPr>
            <w:tcW w:w="614"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11,1 %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10,8 %</w:t>
            </w:r>
          </w:p>
        </w:tc>
        <w:tc>
          <w:tcPr>
            <w:tcW w:w="615"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11,4 %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11,1 %</w:t>
            </w:r>
          </w:p>
        </w:tc>
      </w:tr>
      <w:tr w:rsidR="00074DC4" w:rsidRPr="00561874" w:rsidTr="00FF4035">
        <w:trPr>
          <w:trHeight w:val="278"/>
        </w:trPr>
        <w:tc>
          <w:tcPr>
            <w:tcW w:w="2542" w:type="pct"/>
            <w:gridSpan w:val="2"/>
            <w:tcBorders>
              <w:top w:val="single" w:sz="4" w:space="0" w:color="AEAEAE"/>
              <w:left w:val="single" w:sz="4" w:space="0" w:color="auto"/>
              <w:bottom w:val="single" w:sz="4" w:space="0" w:color="152935"/>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Total</w:t>
            </w:r>
          </w:p>
        </w:tc>
        <w:tc>
          <w:tcPr>
            <w:tcW w:w="614" w:type="pct"/>
            <w:tcBorders>
              <w:top w:val="nil"/>
              <w:left w:val="nil"/>
              <w:bottom w:val="single" w:sz="4" w:space="0" w:color="152935"/>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5" w:type="pct"/>
            <w:tcBorders>
              <w:top w:val="nil"/>
              <w:left w:val="nil"/>
              <w:bottom w:val="single" w:sz="4" w:space="0" w:color="152935"/>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4" w:type="pct"/>
            <w:tcBorders>
              <w:top w:val="nil"/>
              <w:left w:val="single" w:sz="4" w:space="0" w:color="E0E0E0"/>
              <w:bottom w:val="single" w:sz="4" w:space="0" w:color="152935"/>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r>
      <w:tr w:rsidR="00074DC4" w:rsidRPr="00561874" w:rsidTr="00FF4035">
        <w:trPr>
          <w:trHeight w:val="278"/>
        </w:trPr>
        <w:tc>
          <w:tcPr>
            <w:tcW w:w="1120" w:type="pct"/>
            <w:vMerge w:val="restart"/>
            <w:tcBorders>
              <w:top w:val="nil"/>
              <w:left w:val="single" w:sz="4" w:space="0" w:color="auto"/>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3" w:type="pct"/>
            <w:tcBorders>
              <w:top w:val="nil"/>
              <w:left w:val="nil"/>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Kladný vlastní kapitál</w:t>
            </w:r>
          </w:p>
        </w:tc>
        <w:tc>
          <w:tcPr>
            <w:tcW w:w="614"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28,8 %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50,9 %</w:t>
            </w:r>
          </w:p>
        </w:tc>
        <w:tc>
          <w:tcPr>
            <w:tcW w:w="615"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63,5 %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46,7 %</w:t>
            </w:r>
          </w:p>
        </w:tc>
      </w:tr>
      <w:tr w:rsidR="00074DC4" w:rsidRPr="00561874" w:rsidTr="00FF4035">
        <w:trPr>
          <w:trHeight w:val="278"/>
        </w:trPr>
        <w:tc>
          <w:tcPr>
            <w:tcW w:w="1120" w:type="pct"/>
            <w:vMerge/>
            <w:tcBorders>
              <w:top w:val="nil"/>
              <w:left w:val="single" w:sz="4" w:space="0" w:color="auto"/>
              <w:bottom w:val="single" w:sz="4" w:space="0" w:color="AEAEAE"/>
              <w:right w:val="nil"/>
            </w:tcBorders>
            <w:vAlign w:val="center"/>
            <w:hideMark/>
          </w:tcPr>
          <w:p w:rsidR="00074DC4" w:rsidRPr="00561874" w:rsidRDefault="00074DC4" w:rsidP="00C65BE3">
            <w:pPr>
              <w:spacing w:after="0" w:line="240" w:lineRule="auto"/>
              <w:rPr>
                <w:rFonts w:eastAsia="Times New Roman" w:cs="Calibri"/>
                <w:sz w:val="20"/>
                <w:szCs w:val="20"/>
                <w:lang w:eastAsia="cs-CZ"/>
              </w:rPr>
            </w:pPr>
          </w:p>
        </w:tc>
        <w:tc>
          <w:tcPr>
            <w:tcW w:w="1423" w:type="pct"/>
            <w:tcBorders>
              <w:top w:val="nil"/>
              <w:left w:val="nil"/>
              <w:bottom w:val="single" w:sz="4" w:space="0" w:color="AEAEAE"/>
              <w:right w:val="nil"/>
            </w:tcBorders>
            <w:shd w:val="clear" w:color="auto" w:fill="auto"/>
            <w:vAlign w:val="center"/>
            <w:hideMark/>
          </w:tcPr>
          <w:p w:rsidR="00074DC4" w:rsidRPr="00561874" w:rsidRDefault="00074DC4" w:rsidP="00C65BE3">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Záporný vlastní kapitál</w:t>
            </w:r>
          </w:p>
        </w:tc>
        <w:tc>
          <w:tcPr>
            <w:tcW w:w="614"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71,2 %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49,1 %</w:t>
            </w:r>
          </w:p>
        </w:tc>
        <w:tc>
          <w:tcPr>
            <w:tcW w:w="615" w:type="pct"/>
            <w:tcBorders>
              <w:top w:val="nil"/>
              <w:left w:val="nil"/>
              <w:bottom w:val="single" w:sz="4" w:space="0" w:color="AEAEAE"/>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36,5 %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53,3 %</w:t>
            </w:r>
          </w:p>
        </w:tc>
      </w:tr>
      <w:tr w:rsidR="00074DC4" w:rsidRPr="00561874" w:rsidTr="00FF4035">
        <w:trPr>
          <w:trHeight w:val="278"/>
        </w:trPr>
        <w:tc>
          <w:tcPr>
            <w:tcW w:w="2542" w:type="pct"/>
            <w:gridSpan w:val="2"/>
            <w:tcBorders>
              <w:top w:val="single" w:sz="4" w:space="0" w:color="AEAEAE"/>
              <w:left w:val="single" w:sz="4" w:space="0" w:color="auto"/>
              <w:bottom w:val="single" w:sz="4" w:space="0" w:color="auto"/>
              <w:right w:val="nil"/>
            </w:tcBorders>
            <w:shd w:val="clear" w:color="auto" w:fill="auto"/>
            <w:vAlign w:val="center"/>
            <w:hideMark/>
          </w:tcPr>
          <w:p w:rsidR="00074DC4" w:rsidRPr="00561874" w:rsidRDefault="00074DC4" w:rsidP="00C65BE3">
            <w:pPr>
              <w:spacing w:after="0" w:line="240" w:lineRule="auto"/>
              <w:rPr>
                <w:rFonts w:eastAsia="Times New Roman" w:cs="Calibri"/>
                <w:sz w:val="20"/>
                <w:szCs w:val="20"/>
                <w:lang w:eastAsia="cs-CZ"/>
              </w:rPr>
            </w:pPr>
            <w:r w:rsidRPr="00561874">
              <w:rPr>
                <w:rFonts w:eastAsia="Times New Roman" w:cs="Calibri"/>
                <w:sz w:val="20"/>
                <w:szCs w:val="20"/>
                <w:lang w:eastAsia="cs-CZ"/>
              </w:rPr>
              <w:t>Total</w:t>
            </w:r>
          </w:p>
        </w:tc>
        <w:tc>
          <w:tcPr>
            <w:tcW w:w="614" w:type="pct"/>
            <w:tcBorders>
              <w:top w:val="nil"/>
              <w:left w:val="nil"/>
              <w:bottom w:val="single" w:sz="4" w:space="0" w:color="auto"/>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5" w:type="pct"/>
            <w:tcBorders>
              <w:top w:val="nil"/>
              <w:left w:val="nil"/>
              <w:bottom w:val="single" w:sz="4" w:space="0" w:color="auto"/>
              <w:right w:val="nil"/>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c>
          <w:tcPr>
            <w:tcW w:w="614" w:type="pct"/>
            <w:tcBorders>
              <w:top w:val="nil"/>
              <w:left w:val="single" w:sz="4" w:space="0" w:color="E0E0E0"/>
              <w:bottom w:val="single" w:sz="4" w:space="0" w:color="auto"/>
              <w:right w:val="single" w:sz="4" w:space="0" w:color="auto"/>
            </w:tcBorders>
            <w:shd w:val="clear" w:color="auto" w:fill="auto"/>
            <w:noWrap/>
            <w:vAlign w:val="center"/>
            <w:hideMark/>
          </w:tcPr>
          <w:p w:rsidR="00074DC4" w:rsidRPr="00561874" w:rsidRDefault="00074DC4" w:rsidP="00C65BE3">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100,0 %</w:t>
            </w:r>
          </w:p>
        </w:tc>
      </w:tr>
    </w:tbl>
    <w:p w:rsidR="00074DC4" w:rsidRDefault="00074DC4" w:rsidP="00074DC4">
      <w:pPr>
        <w:rPr>
          <w:szCs w:val="24"/>
        </w:rPr>
      </w:pPr>
    </w:p>
    <w:p w:rsidR="00074DC4" w:rsidRDefault="00074DC4" w:rsidP="004515E5">
      <w:r w:rsidRPr="00011AAC">
        <w:t>Obdobná situace jako v předchozích dvou případech je v období jednoho roku před zjištěním úpadku i u polarity ukazatelů kapitálové struktury, kde jsou patrné rovněž významné rozdíly mez úpadkovými a bezproblémovými podniky v období jednoho roku před zjištěním úpadku úpadkových podniků, přičemž výraznější je rozdíl v polaritě vlastního kapitálu, kdy záporný vlastní kapitál je možné považovat za přímou indikaci předlužení.</w:t>
      </w:r>
    </w:p>
    <w:p w:rsidR="00074DC4" w:rsidRDefault="00074DC4" w:rsidP="004515E5">
      <w:r>
        <w:t>Ani u relativní četnosti polarit ukazatelů kapitálové struktury v období dvou let před úpadkem není situace odlišná od předchozích ukazatelů, když jsou patrné významné rozdíly mezi podniky úpadkovými a podniky bezproblémovými.</w:t>
      </w:r>
    </w:p>
    <w:p w:rsidR="00074DC4" w:rsidRDefault="00074DC4" w:rsidP="00074DC4">
      <w:r>
        <w:t xml:space="preserve">Také u polarit ukazatelů kapitálové struktury jsou rozdíly v období tří let před zjištěním úpadku stále signifikantní a nelze pozorovat v žádné významné </w:t>
      </w:r>
      <w:proofErr w:type="gramStart"/>
      <w:r>
        <w:t>změny</w:t>
      </w:r>
      <w:proofErr w:type="gramEnd"/>
      <w:r>
        <w:t xml:space="preserve"> oproti předchozím obdobím.</w:t>
      </w:r>
    </w:p>
    <w:p w:rsidR="00C65BE3" w:rsidRDefault="00C65BE3" w:rsidP="00074DC4">
      <w:pPr>
        <w:rPr>
          <w:b/>
          <w:bCs/>
          <w:szCs w:val="24"/>
        </w:rPr>
      </w:pPr>
    </w:p>
    <w:p w:rsidR="00074DC4" w:rsidRDefault="00074DC4" w:rsidP="005A5A62">
      <w:pPr>
        <w:pStyle w:val="Nadpis4"/>
        <w:numPr>
          <w:ilvl w:val="3"/>
          <w:numId w:val="16"/>
        </w:numPr>
      </w:pPr>
      <w:r w:rsidRPr="00DD452C">
        <w:t>Závěr k</w:t>
      </w:r>
      <w:r w:rsidR="004515E5">
        <w:t> </w:t>
      </w:r>
      <w:r w:rsidRPr="00DD452C">
        <w:t>polaritám</w:t>
      </w:r>
    </w:p>
    <w:p w:rsidR="004515E5" w:rsidRPr="004515E5" w:rsidRDefault="004515E5" w:rsidP="004515E5"/>
    <w:p w:rsidR="00074DC4" w:rsidRDefault="00074DC4" w:rsidP="00074DC4">
      <w:r>
        <w:t>Z analýzy četností polarit vybraných ukazatelů pak plyne, že téměř polovina úpadkových podniků se již tři roky před úpadkem potýkala se zápornou úrovní ukazatele primární EBITDA (základní provozní úrovně tvorby zisku a základního ukazatele provozní výkonnosti).</w:t>
      </w:r>
    </w:p>
    <w:p w:rsidR="00074DC4" w:rsidRDefault="00074DC4" w:rsidP="00074DC4">
      <w:r>
        <w:t>S deficitem nutné hotovosti již na úrovni požadavku na 15% okamžitou (peněžní) likviditu) se pak již tři roky před zjištěním úpadku potýkalo více než 65 % úpadkových podniků.</w:t>
      </w:r>
    </w:p>
    <w:p w:rsidR="00074DC4" w:rsidRDefault="00074DC4" w:rsidP="00074DC4">
      <w:r>
        <w:t xml:space="preserve">Ukazuje se, že úpadkové podniky dosahovaly ve všech sledovaných obdobích významně vyššího podílu na počtu podniků se zápornou hodnotou vybraných ukazatelů. </w:t>
      </w:r>
      <w:r w:rsidRPr="009E6F6A">
        <w:rPr>
          <w:b/>
          <w:bCs/>
        </w:rPr>
        <w:t>Z toho lze usoudit, že polarita těchto vybraných ukazatelů je</w:t>
      </w:r>
      <w:r>
        <w:rPr>
          <w:b/>
          <w:bCs/>
        </w:rPr>
        <w:t xml:space="preserve"> má diskriminační potenciál ve vztahu k signálům včasného varování podnikové krize</w:t>
      </w:r>
      <w:r>
        <w:t>.</w:t>
      </w:r>
    </w:p>
    <w:p w:rsidR="000E79E9" w:rsidRDefault="000E79E9" w:rsidP="00074DC4"/>
    <w:p w:rsidR="000E79E9" w:rsidRDefault="000E79E9" w:rsidP="00074DC4"/>
    <w:p w:rsidR="000E79E9" w:rsidRDefault="000E79E9" w:rsidP="00074DC4"/>
    <w:p w:rsidR="000E79E9" w:rsidRDefault="000E79E9" w:rsidP="00074DC4"/>
    <w:p w:rsidR="00074DC4" w:rsidRDefault="00074DC4" w:rsidP="00074DC4">
      <w:pPr>
        <w:rPr>
          <w:b/>
          <w:bCs/>
          <w:szCs w:val="24"/>
          <w:u w:val="single"/>
        </w:rPr>
      </w:pPr>
    </w:p>
    <w:p w:rsidR="00074DC4" w:rsidRDefault="00074DC4" w:rsidP="00B370E5">
      <w:pPr>
        <w:pStyle w:val="Nadpis3"/>
        <w:numPr>
          <w:ilvl w:val="2"/>
          <w:numId w:val="16"/>
        </w:numPr>
      </w:pPr>
      <w:bookmarkStart w:id="142" w:name="_Toc31054480"/>
      <w:r w:rsidRPr="005D2434">
        <w:t>K</w:t>
      </w:r>
      <w:r w:rsidR="004515E5">
        <w:t xml:space="preserve">ategorie (intervaly) </w:t>
      </w:r>
      <w:r w:rsidR="004515E5" w:rsidRPr="004515E5">
        <w:t>poměrových</w:t>
      </w:r>
      <w:r w:rsidR="004515E5">
        <w:t xml:space="preserve"> ukazatelů</w:t>
      </w:r>
      <w:bookmarkEnd w:id="142"/>
    </w:p>
    <w:p w:rsidR="004515E5" w:rsidRPr="004515E5" w:rsidRDefault="004515E5" w:rsidP="004515E5">
      <w:pPr>
        <w:rPr>
          <w:lang w:eastAsia="cs-CZ"/>
        </w:rPr>
      </w:pPr>
    </w:p>
    <w:p w:rsidR="00074DC4" w:rsidRDefault="00074DC4" w:rsidP="00B370E5">
      <w:pPr>
        <w:pStyle w:val="Nadpis3"/>
        <w:numPr>
          <w:ilvl w:val="2"/>
          <w:numId w:val="16"/>
        </w:numPr>
      </w:pPr>
      <w:bookmarkStart w:id="143" w:name="_Toc31054481"/>
      <w:r w:rsidRPr="00B370E5">
        <w:t>Provozní</w:t>
      </w:r>
      <w:r>
        <w:t xml:space="preserve"> marže</w:t>
      </w:r>
      <w:bookmarkEnd w:id="143"/>
    </w:p>
    <w:p w:rsidR="004515E5" w:rsidRPr="004515E5" w:rsidRDefault="004515E5" w:rsidP="004515E5">
      <w:pPr>
        <w:rPr>
          <w:lang w:eastAsia="cs-CZ"/>
        </w:rPr>
      </w:pPr>
    </w:p>
    <w:p w:rsidR="00074DC4" w:rsidRDefault="00074DC4" w:rsidP="00074DC4">
      <w:pPr>
        <w:pStyle w:val="Bezmezer"/>
        <w:rPr>
          <w:b/>
        </w:rPr>
      </w:pPr>
      <w:r w:rsidRPr="004515E5">
        <w:rPr>
          <w:b/>
        </w:rPr>
        <w:t>Interval marže přidané hodnoty</w:t>
      </w:r>
    </w:p>
    <w:p w:rsidR="00FF4035" w:rsidRDefault="00FF4035" w:rsidP="00074DC4">
      <w:pPr>
        <w:pStyle w:val="Bezmezer"/>
        <w:rPr>
          <w:b/>
        </w:rPr>
      </w:pPr>
    </w:p>
    <w:p w:rsidR="007C1EE6" w:rsidRDefault="007C1EE6" w:rsidP="007C1EE6">
      <w:pPr>
        <w:pStyle w:val="Titulek"/>
        <w:keepNext/>
      </w:pPr>
      <w:bookmarkStart w:id="144" w:name="_Toc31054920"/>
      <w:r>
        <w:t xml:space="preserve">Graf </w:t>
      </w:r>
      <w:r w:rsidR="00163A91">
        <w:rPr>
          <w:noProof/>
        </w:rPr>
        <w:fldChar w:fldCharType="begin"/>
      </w:r>
      <w:r w:rsidR="00EC5AA6">
        <w:rPr>
          <w:noProof/>
        </w:rPr>
        <w:instrText xml:space="preserve"> SEQ Graf \* ARABIC </w:instrText>
      </w:r>
      <w:r w:rsidR="00163A91">
        <w:rPr>
          <w:noProof/>
        </w:rPr>
        <w:fldChar w:fldCharType="separate"/>
      </w:r>
      <w:r>
        <w:rPr>
          <w:noProof/>
        </w:rPr>
        <w:t>2</w:t>
      </w:r>
      <w:r w:rsidR="00163A91">
        <w:rPr>
          <w:noProof/>
        </w:rPr>
        <w:fldChar w:fldCharType="end"/>
      </w:r>
      <w:r>
        <w:t>Interval marže přidané hodnoty</w:t>
      </w:r>
      <w:bookmarkEnd w:id="144"/>
    </w:p>
    <w:p w:rsidR="00074DC4" w:rsidRDefault="00074DC4" w:rsidP="00FF4035">
      <w:pPr>
        <w:pStyle w:val="Titulek"/>
        <w:rPr>
          <w:rFonts w:cs="Times New Roman"/>
          <w:szCs w:val="24"/>
        </w:rPr>
      </w:pPr>
      <w:r>
        <w:rPr>
          <w:rFonts w:cs="Times New Roman"/>
          <w:noProof/>
          <w:szCs w:val="24"/>
          <w:lang w:eastAsia="cs-CZ"/>
        </w:rPr>
        <w:drawing>
          <wp:inline distT="0" distB="0" distL="0" distR="0">
            <wp:extent cx="5730240" cy="3375660"/>
            <wp:effectExtent l="0" t="0" r="381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074DC4" w:rsidRDefault="00074DC4" w:rsidP="00074DC4">
      <w:r>
        <w:t xml:space="preserve">U kategorií (intervalů) marže přidané hodnoty jsou patrné rozdíly mezi úpadkovými a bezproblémovými podniky zejména v úrovni mediánu, kdy </w:t>
      </w:r>
      <w:r w:rsidRPr="0008561E">
        <w:rPr>
          <w:u w:val="single"/>
        </w:rPr>
        <w:t>úpadkové podniky mají ve všech třech letech medián na nižší úrovni</w:t>
      </w:r>
      <w:r>
        <w:t xml:space="preserve">. Současně, </w:t>
      </w:r>
      <w:r w:rsidRPr="0008561E">
        <w:rPr>
          <w:u w:val="single"/>
        </w:rPr>
        <w:t>50 % hodnot se u úpadkových podniků</w:t>
      </w:r>
      <w:r>
        <w:t xml:space="preserve"> ve všech třech letech před zjištěním úpadku u úpadkových podniků </w:t>
      </w:r>
      <w:r w:rsidRPr="0008561E">
        <w:rPr>
          <w:u w:val="single"/>
        </w:rPr>
        <w:t>nachází rovněž na nižších úrovních</w:t>
      </w:r>
      <w:r>
        <w:t xml:space="preserve">. V období jednoho roku před úpadkem je pak patrné větší kvartilové rozpětí u úpadkových podniků. </w:t>
      </w:r>
      <w:r w:rsidRPr="00301A35">
        <w:rPr>
          <w:b/>
          <w:bCs/>
        </w:rPr>
        <w:t>Rozdíly v obou sledovaných skupinách však neindikují jednoznačný diskriminační potenciál tohoto ukazatele</w:t>
      </w:r>
      <w:r>
        <w:t>.</w:t>
      </w:r>
    </w:p>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74DC4" w:rsidRDefault="00074DC4" w:rsidP="00074DC4"/>
    <w:p w:rsidR="00074DC4" w:rsidRPr="00F44E79" w:rsidRDefault="00074DC4" w:rsidP="00C65BE3">
      <w:pPr>
        <w:rPr>
          <w:b/>
        </w:rPr>
      </w:pPr>
      <w:r w:rsidRPr="00F44E79">
        <w:rPr>
          <w:b/>
        </w:rPr>
        <w:t>Interval marže primární EBITDA</w:t>
      </w:r>
    </w:p>
    <w:p w:rsidR="00FF4035" w:rsidRDefault="00FF4035" w:rsidP="00FF4035">
      <w:pPr>
        <w:pStyle w:val="Titulek"/>
        <w:keepNext/>
      </w:pPr>
      <w:bookmarkStart w:id="145" w:name="_Toc31054921"/>
      <w:r>
        <w:t xml:space="preserve">Graf </w:t>
      </w:r>
      <w:r w:rsidR="00163A91">
        <w:rPr>
          <w:noProof/>
        </w:rPr>
        <w:fldChar w:fldCharType="begin"/>
      </w:r>
      <w:r w:rsidR="00335066">
        <w:rPr>
          <w:noProof/>
        </w:rPr>
        <w:instrText xml:space="preserve"> SEQ Graf \* ARABIC </w:instrText>
      </w:r>
      <w:r w:rsidR="00163A91">
        <w:rPr>
          <w:noProof/>
        </w:rPr>
        <w:fldChar w:fldCharType="separate"/>
      </w:r>
      <w:r w:rsidR="007C1EE6">
        <w:rPr>
          <w:noProof/>
        </w:rPr>
        <w:t>3</w:t>
      </w:r>
      <w:r w:rsidR="00163A91">
        <w:rPr>
          <w:noProof/>
        </w:rPr>
        <w:fldChar w:fldCharType="end"/>
      </w:r>
      <w:r>
        <w:t xml:space="preserve"> Interval marže primární EBITDA</w:t>
      </w:r>
      <w:bookmarkEnd w:id="145"/>
    </w:p>
    <w:p w:rsidR="00074DC4" w:rsidRDefault="00074DC4" w:rsidP="00074DC4">
      <w:pPr>
        <w:rPr>
          <w:rFonts w:cs="Times New Roman"/>
          <w:szCs w:val="24"/>
        </w:rPr>
      </w:pPr>
      <w:r>
        <w:rPr>
          <w:rFonts w:cs="Times New Roman"/>
          <w:noProof/>
          <w:szCs w:val="24"/>
          <w:lang w:eastAsia="cs-CZ"/>
        </w:rPr>
        <w:drawing>
          <wp:inline distT="0" distB="0" distL="0" distR="0">
            <wp:extent cx="5730240" cy="3375660"/>
            <wp:effectExtent l="0" t="0" r="381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0E79E9" w:rsidRDefault="00074DC4" w:rsidP="00074DC4">
      <w:r>
        <w:t xml:space="preserve">Mnohem výraznější rozdíly jsou pak patrné u kategorií (intervalů) marže primární EBITDA. </w:t>
      </w:r>
      <w:r w:rsidRPr="00F7022B">
        <w:rPr>
          <w:u w:val="single"/>
        </w:rPr>
        <w:t>Medián</w:t>
      </w:r>
      <w:r>
        <w:t xml:space="preserve"> se u úpadkových podniků </w:t>
      </w:r>
      <w:r w:rsidRPr="00F7022B">
        <w:rPr>
          <w:u w:val="single"/>
        </w:rPr>
        <w:t>ve všech třech letech nachází na výrazně nižší úrovni</w:t>
      </w:r>
      <w:r>
        <w:t xml:space="preserve">, stejně tak </w:t>
      </w:r>
      <w:r w:rsidRPr="00F7022B">
        <w:rPr>
          <w:u w:val="single"/>
        </w:rPr>
        <w:t>50 % hodnot se u úpadkových podniků nachází rovněž na výrazně nižších úrovních</w:t>
      </w:r>
      <w:r>
        <w:t xml:space="preserve">. </w:t>
      </w:r>
    </w:p>
    <w:p w:rsidR="000E79E9" w:rsidRDefault="00074DC4" w:rsidP="00074DC4">
      <w:r>
        <w:t>Jeden rok před úpadkem je pak patrné, že horní kvartil v případě úpadkových podniků je na stejné úrovni, jako dolní kvartil podniků bezproblémových, což ukazuje na výrazné rozdíly v ukazateli marže primární EBITDA mezi úpadkovými a bezproblémovými podniky jeden rok před zjištěním úpadku u úpadkových podniků.</w:t>
      </w:r>
    </w:p>
    <w:p w:rsidR="00074DC4" w:rsidRDefault="00074DC4" w:rsidP="00074DC4">
      <w:r>
        <w:t xml:space="preserve"> </w:t>
      </w:r>
      <w:r w:rsidRPr="00201A0E">
        <w:rPr>
          <w:u w:val="single"/>
        </w:rPr>
        <w:t>U úpadkových podniků pak lze pozorovat navíc zmenšení kvartilového rozpětí v posledním roce před zjištěním úpadku, a to vlivem poklesu horního kvartilu na nižší úroveň</w:t>
      </w:r>
      <w:r>
        <w:t xml:space="preserve">. To znamená, že 50 % hodnot je v tomto období u úpadkových podniků „zhuštěno“ do nižších kategorií. Na rozdíl od kategorií marže přidané hodnoty lze konstatovat, že </w:t>
      </w:r>
      <w:r w:rsidRPr="00301A35">
        <w:rPr>
          <w:b/>
          <w:bCs/>
        </w:rPr>
        <w:t>kategorie marže primární EBITDA mají významný diskriminační potenciál</w:t>
      </w:r>
      <w:r>
        <w:t>.</w:t>
      </w:r>
    </w:p>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C65BE3" w:rsidRDefault="00C65BE3" w:rsidP="00074DC4">
      <w:pPr>
        <w:pStyle w:val="Bezmezer"/>
      </w:pPr>
    </w:p>
    <w:p w:rsidR="00074DC4" w:rsidRPr="00F44E79" w:rsidRDefault="00074DC4" w:rsidP="00C65BE3">
      <w:pPr>
        <w:rPr>
          <w:b/>
        </w:rPr>
      </w:pPr>
      <w:r w:rsidRPr="00F44E79">
        <w:rPr>
          <w:b/>
        </w:rPr>
        <w:t>Interval marže provozní EBITDA</w:t>
      </w:r>
    </w:p>
    <w:p w:rsidR="00FF4035" w:rsidRDefault="00FF4035" w:rsidP="00FF4035">
      <w:pPr>
        <w:pStyle w:val="Titulek"/>
        <w:keepNext/>
      </w:pPr>
      <w:bookmarkStart w:id="146" w:name="_Toc31054922"/>
      <w:r>
        <w:t xml:space="preserve">Graf </w:t>
      </w:r>
      <w:r w:rsidR="00163A91">
        <w:rPr>
          <w:noProof/>
        </w:rPr>
        <w:fldChar w:fldCharType="begin"/>
      </w:r>
      <w:r w:rsidR="00335066">
        <w:rPr>
          <w:noProof/>
        </w:rPr>
        <w:instrText xml:space="preserve"> SEQ Graf \* ARABIC </w:instrText>
      </w:r>
      <w:r w:rsidR="00163A91">
        <w:rPr>
          <w:noProof/>
        </w:rPr>
        <w:fldChar w:fldCharType="separate"/>
      </w:r>
      <w:r w:rsidR="007C1EE6">
        <w:rPr>
          <w:noProof/>
        </w:rPr>
        <w:t>4</w:t>
      </w:r>
      <w:r w:rsidR="00163A91">
        <w:rPr>
          <w:noProof/>
        </w:rPr>
        <w:fldChar w:fldCharType="end"/>
      </w:r>
      <w:r>
        <w:t xml:space="preserve"> </w:t>
      </w:r>
      <w:r w:rsidRPr="00A74DE7">
        <w:t>Interval marže provozní EBITDA</w:t>
      </w:r>
      <w:bookmarkEnd w:id="146"/>
    </w:p>
    <w:p w:rsidR="00074DC4" w:rsidRDefault="00074DC4" w:rsidP="00074DC4">
      <w:pPr>
        <w:rPr>
          <w:rFonts w:cs="Times New Roman"/>
          <w:szCs w:val="24"/>
        </w:rPr>
      </w:pPr>
      <w:r>
        <w:rPr>
          <w:rFonts w:cs="Times New Roman"/>
          <w:noProof/>
          <w:szCs w:val="24"/>
          <w:lang w:eastAsia="cs-CZ"/>
        </w:rPr>
        <w:drawing>
          <wp:inline distT="0" distB="0" distL="0" distR="0">
            <wp:extent cx="5730240" cy="3375660"/>
            <wp:effectExtent l="0" t="0" r="381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B370E5" w:rsidRDefault="00B370E5" w:rsidP="00C65BE3">
      <w:pPr>
        <w:rPr>
          <w:b/>
        </w:rPr>
      </w:pPr>
    </w:p>
    <w:p w:rsidR="00B370E5" w:rsidRDefault="00B370E5" w:rsidP="00C65BE3">
      <w:pPr>
        <w:rPr>
          <w:b/>
        </w:rPr>
      </w:pPr>
    </w:p>
    <w:p w:rsidR="00B370E5" w:rsidRDefault="00B370E5" w:rsidP="00C65BE3">
      <w:pPr>
        <w:rPr>
          <w:b/>
        </w:rPr>
      </w:pPr>
    </w:p>
    <w:p w:rsidR="00B370E5" w:rsidRDefault="00B370E5" w:rsidP="00C65BE3">
      <w:pPr>
        <w:rPr>
          <w:b/>
        </w:rPr>
      </w:pPr>
    </w:p>
    <w:p w:rsidR="00B370E5" w:rsidRDefault="00B370E5" w:rsidP="00C65BE3">
      <w:pPr>
        <w:rPr>
          <w:b/>
        </w:rPr>
      </w:pPr>
    </w:p>
    <w:p w:rsidR="00B370E5" w:rsidRDefault="00B370E5" w:rsidP="00C65BE3">
      <w:pPr>
        <w:rPr>
          <w:b/>
        </w:rPr>
      </w:pPr>
    </w:p>
    <w:p w:rsidR="00B370E5" w:rsidRDefault="00B370E5" w:rsidP="00C65BE3">
      <w:pPr>
        <w:rPr>
          <w:b/>
        </w:rPr>
      </w:pPr>
    </w:p>
    <w:p w:rsidR="00B370E5" w:rsidRDefault="00B370E5" w:rsidP="00C65BE3">
      <w:pPr>
        <w:rPr>
          <w:b/>
        </w:rPr>
      </w:pPr>
    </w:p>
    <w:p w:rsidR="00B370E5" w:rsidRDefault="00B370E5" w:rsidP="00C65BE3">
      <w:pPr>
        <w:rPr>
          <w:b/>
        </w:rPr>
      </w:pPr>
    </w:p>
    <w:p w:rsidR="00B370E5" w:rsidRDefault="00B370E5" w:rsidP="00C65BE3">
      <w:pPr>
        <w:rPr>
          <w:b/>
        </w:rPr>
      </w:pPr>
    </w:p>
    <w:p w:rsidR="00B370E5" w:rsidRDefault="00B370E5" w:rsidP="00C65BE3">
      <w:pPr>
        <w:rPr>
          <w:b/>
        </w:rPr>
      </w:pPr>
    </w:p>
    <w:p w:rsidR="00B370E5" w:rsidRDefault="00B370E5" w:rsidP="00C65BE3">
      <w:pPr>
        <w:rPr>
          <w:b/>
        </w:rPr>
      </w:pPr>
    </w:p>
    <w:p w:rsidR="00B370E5" w:rsidRDefault="00B370E5" w:rsidP="00C65BE3">
      <w:pPr>
        <w:rPr>
          <w:b/>
        </w:rPr>
      </w:pPr>
    </w:p>
    <w:p w:rsidR="00074DC4" w:rsidRPr="00F44E79" w:rsidRDefault="00074DC4" w:rsidP="00C65BE3">
      <w:pPr>
        <w:rPr>
          <w:b/>
        </w:rPr>
      </w:pPr>
      <w:r w:rsidRPr="00F44E79">
        <w:rPr>
          <w:b/>
        </w:rPr>
        <w:t>Interval marže EBITDA</w:t>
      </w:r>
    </w:p>
    <w:p w:rsidR="00FF4035" w:rsidRDefault="00FF4035" w:rsidP="00FF4035">
      <w:pPr>
        <w:pStyle w:val="Titulek"/>
        <w:keepNext/>
      </w:pPr>
      <w:bookmarkStart w:id="147" w:name="_Toc31054923"/>
      <w:r>
        <w:t xml:space="preserve">Graf </w:t>
      </w:r>
      <w:r w:rsidR="00163A91">
        <w:rPr>
          <w:noProof/>
        </w:rPr>
        <w:fldChar w:fldCharType="begin"/>
      </w:r>
      <w:r w:rsidR="00335066">
        <w:rPr>
          <w:noProof/>
        </w:rPr>
        <w:instrText xml:space="preserve"> SEQ Graf \* ARABIC </w:instrText>
      </w:r>
      <w:r w:rsidR="00163A91">
        <w:rPr>
          <w:noProof/>
        </w:rPr>
        <w:fldChar w:fldCharType="separate"/>
      </w:r>
      <w:r w:rsidR="007C1EE6">
        <w:rPr>
          <w:noProof/>
        </w:rPr>
        <w:t>5</w:t>
      </w:r>
      <w:r w:rsidR="00163A91">
        <w:rPr>
          <w:noProof/>
        </w:rPr>
        <w:fldChar w:fldCharType="end"/>
      </w:r>
      <w:r>
        <w:t xml:space="preserve"> </w:t>
      </w:r>
      <w:r w:rsidRPr="00495B76">
        <w:t>Interval marže EBITDA</w:t>
      </w:r>
      <w:bookmarkEnd w:id="147"/>
    </w:p>
    <w:p w:rsidR="00074DC4" w:rsidRDefault="00074DC4" w:rsidP="00074DC4">
      <w:pPr>
        <w:rPr>
          <w:rFonts w:cs="Times New Roman"/>
          <w:szCs w:val="24"/>
        </w:rPr>
      </w:pPr>
      <w:r>
        <w:rPr>
          <w:rFonts w:cs="Times New Roman"/>
          <w:noProof/>
          <w:szCs w:val="24"/>
          <w:lang w:eastAsia="cs-CZ"/>
        </w:rPr>
        <w:drawing>
          <wp:inline distT="0" distB="0" distL="0" distR="0">
            <wp:extent cx="5730240" cy="3375660"/>
            <wp:effectExtent l="0" t="0" r="381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074DC4" w:rsidRDefault="00074DC4" w:rsidP="00074DC4">
      <w:r>
        <w:t xml:space="preserve">U kategorií (intervalů) marže provozní EBITDA a EBITDA je situace identická, jako v případě ukazatele primární EBITDA (ukazatele základní provozní výkonnosti podniku). Stejně jako kategorie marže primární EBITDA </w:t>
      </w:r>
      <w:r w:rsidRPr="00301A35">
        <w:rPr>
          <w:b/>
          <w:bCs/>
        </w:rPr>
        <w:t>lze i u kategorií těchto ukazatelů spatřovat významný diskriminační potenciál</w:t>
      </w:r>
      <w:r>
        <w:t>.</w:t>
      </w:r>
    </w:p>
    <w:p w:rsidR="00B370E5" w:rsidRDefault="00B370E5" w:rsidP="00074DC4"/>
    <w:p w:rsidR="00B370E5" w:rsidRDefault="00B370E5" w:rsidP="00074DC4"/>
    <w:p w:rsidR="00B370E5" w:rsidRDefault="00B370E5" w:rsidP="00074DC4"/>
    <w:p w:rsidR="00B370E5" w:rsidRDefault="00B370E5" w:rsidP="00074DC4"/>
    <w:p w:rsidR="00B370E5" w:rsidRDefault="00B370E5" w:rsidP="00074DC4"/>
    <w:p w:rsidR="00B370E5" w:rsidRDefault="00B370E5" w:rsidP="00074DC4"/>
    <w:p w:rsidR="00B370E5" w:rsidRDefault="00B370E5" w:rsidP="00074DC4"/>
    <w:p w:rsidR="00B370E5" w:rsidRDefault="00B370E5" w:rsidP="00074DC4"/>
    <w:p w:rsidR="00B370E5" w:rsidRDefault="00B370E5" w:rsidP="00074DC4"/>
    <w:p w:rsidR="00B370E5" w:rsidRDefault="00B370E5" w:rsidP="00074DC4"/>
    <w:p w:rsidR="00B370E5" w:rsidRDefault="00B370E5" w:rsidP="00074DC4"/>
    <w:p w:rsidR="00B370E5" w:rsidRDefault="00B370E5" w:rsidP="00074DC4"/>
    <w:p w:rsidR="00B370E5" w:rsidRDefault="00B370E5" w:rsidP="00074DC4"/>
    <w:p w:rsidR="00074DC4" w:rsidRDefault="00074DC4" w:rsidP="00074DC4"/>
    <w:p w:rsidR="00074DC4" w:rsidRDefault="00074DC4" w:rsidP="006B3B62">
      <w:pPr>
        <w:pStyle w:val="Nadpis3"/>
        <w:numPr>
          <w:ilvl w:val="2"/>
          <w:numId w:val="16"/>
        </w:numPr>
      </w:pPr>
      <w:bookmarkStart w:id="148" w:name="_Toc31054482"/>
      <w:r w:rsidRPr="00101AEF">
        <w:t xml:space="preserve">Ukazatele pracovního </w:t>
      </w:r>
      <w:r w:rsidRPr="00B370E5">
        <w:t>kapitálu</w:t>
      </w:r>
      <w:bookmarkEnd w:id="148"/>
    </w:p>
    <w:p w:rsidR="00074DC4" w:rsidRDefault="00074DC4" w:rsidP="00C65BE3">
      <w:pPr>
        <w:rPr>
          <w:b/>
        </w:rPr>
      </w:pPr>
      <w:r w:rsidRPr="00F44E79">
        <w:rPr>
          <w:b/>
        </w:rPr>
        <w:t>Interval podílu hotovosti na nutné hotovosti</w:t>
      </w:r>
    </w:p>
    <w:p w:rsidR="00FF4035" w:rsidRDefault="00FF4035" w:rsidP="00FF4035">
      <w:pPr>
        <w:pStyle w:val="Titulek"/>
        <w:keepNext/>
      </w:pPr>
      <w:bookmarkStart w:id="149" w:name="_Toc31054924"/>
      <w:r>
        <w:t xml:space="preserve">Graf </w:t>
      </w:r>
      <w:r w:rsidR="00163A91">
        <w:rPr>
          <w:noProof/>
        </w:rPr>
        <w:fldChar w:fldCharType="begin"/>
      </w:r>
      <w:r w:rsidR="00335066">
        <w:rPr>
          <w:noProof/>
        </w:rPr>
        <w:instrText xml:space="preserve"> SEQ Graf \* ARABIC </w:instrText>
      </w:r>
      <w:r w:rsidR="00163A91">
        <w:rPr>
          <w:noProof/>
        </w:rPr>
        <w:fldChar w:fldCharType="separate"/>
      </w:r>
      <w:r w:rsidR="007C1EE6">
        <w:rPr>
          <w:noProof/>
        </w:rPr>
        <w:t>6</w:t>
      </w:r>
      <w:r w:rsidR="00163A91">
        <w:rPr>
          <w:noProof/>
        </w:rPr>
        <w:fldChar w:fldCharType="end"/>
      </w:r>
      <w:r>
        <w:t xml:space="preserve"> </w:t>
      </w:r>
      <w:r w:rsidRPr="00CE5B9C">
        <w:t>Interval podílu hotovosti na nutné hotovosti</w:t>
      </w:r>
      <w:bookmarkEnd w:id="149"/>
    </w:p>
    <w:p w:rsidR="00074DC4" w:rsidRDefault="00074DC4" w:rsidP="00074DC4">
      <w:pPr>
        <w:rPr>
          <w:rFonts w:cs="Times New Roman"/>
          <w:szCs w:val="24"/>
        </w:rPr>
      </w:pPr>
      <w:r>
        <w:rPr>
          <w:rFonts w:cs="Times New Roman"/>
          <w:noProof/>
          <w:szCs w:val="24"/>
          <w:lang w:eastAsia="cs-CZ"/>
        </w:rPr>
        <w:drawing>
          <wp:inline distT="0" distB="0" distL="0" distR="0">
            <wp:extent cx="5730240" cy="3375660"/>
            <wp:effectExtent l="0" t="0" r="381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B370E5" w:rsidRDefault="00B370E5" w:rsidP="00074DC4"/>
    <w:p w:rsidR="00074DC4" w:rsidRDefault="00074DC4" w:rsidP="00074DC4">
      <w:r>
        <w:t xml:space="preserve">U kategorií (intervalů) podílu hotovosti na nutné hotovosti je situace ve všech třel </w:t>
      </w:r>
      <w:proofErr w:type="gramStart"/>
      <w:r>
        <w:t>letech</w:t>
      </w:r>
      <w:proofErr w:type="gramEnd"/>
      <w:r>
        <w:t xml:space="preserve"> v zásadě shodná a ukazuje, že úpadkové podniky dosahovaly v oblasti nutné hotovosti </w:t>
      </w:r>
      <w:r w:rsidRPr="00201A0E">
        <w:rPr>
          <w:u w:val="single"/>
        </w:rPr>
        <w:t>výrazně odlišné úrovně, a to jak u mediánu, tak u kvartilového rozpětí</w:t>
      </w:r>
      <w:r>
        <w:t xml:space="preserve">. </w:t>
      </w:r>
      <w:r w:rsidRPr="00103675">
        <w:rPr>
          <w:b/>
          <w:bCs/>
        </w:rPr>
        <w:t>U kategorií tohoto ukazatele lze rovněž spatřovat diskriminační potenciál</w:t>
      </w:r>
      <w:r>
        <w:t>.</w:t>
      </w:r>
    </w:p>
    <w:p w:rsidR="000E79E9" w:rsidRDefault="000E79E9" w:rsidP="00074DC4">
      <w:pPr>
        <w:pStyle w:val="Bezmezer"/>
      </w:pPr>
    </w:p>
    <w:p w:rsidR="000E79E9" w:rsidRDefault="000E79E9" w:rsidP="00C65BE3">
      <w:pPr>
        <w:rPr>
          <w:b/>
        </w:rPr>
      </w:pPr>
    </w:p>
    <w:p w:rsidR="000E79E9" w:rsidRDefault="000E79E9" w:rsidP="00C65BE3">
      <w:pPr>
        <w:rPr>
          <w:b/>
        </w:rPr>
      </w:pPr>
    </w:p>
    <w:p w:rsidR="000E79E9" w:rsidRDefault="000E79E9" w:rsidP="00C65BE3">
      <w:pPr>
        <w:rPr>
          <w:b/>
        </w:rPr>
      </w:pPr>
    </w:p>
    <w:p w:rsidR="000E79E9" w:rsidRDefault="000E79E9" w:rsidP="00C65BE3">
      <w:pPr>
        <w:rPr>
          <w:b/>
        </w:rPr>
      </w:pPr>
    </w:p>
    <w:p w:rsidR="000E79E9" w:rsidRDefault="000E79E9" w:rsidP="00C65BE3">
      <w:pPr>
        <w:rPr>
          <w:b/>
        </w:rPr>
      </w:pPr>
    </w:p>
    <w:p w:rsidR="000E79E9" w:rsidRDefault="000E79E9" w:rsidP="00C65BE3">
      <w:pPr>
        <w:rPr>
          <w:b/>
        </w:rPr>
      </w:pPr>
    </w:p>
    <w:p w:rsidR="000E79E9" w:rsidRDefault="000E79E9" w:rsidP="00C65BE3">
      <w:pPr>
        <w:rPr>
          <w:b/>
        </w:rPr>
      </w:pPr>
    </w:p>
    <w:p w:rsidR="006B3B62" w:rsidRDefault="006B3B62" w:rsidP="00C65BE3">
      <w:pPr>
        <w:rPr>
          <w:b/>
        </w:rPr>
      </w:pPr>
    </w:p>
    <w:p w:rsidR="006B3B62" w:rsidRDefault="006B3B62" w:rsidP="00C65BE3">
      <w:pPr>
        <w:rPr>
          <w:b/>
        </w:rPr>
      </w:pPr>
    </w:p>
    <w:p w:rsidR="006B3B62" w:rsidRDefault="006B3B62" w:rsidP="00C65BE3">
      <w:pPr>
        <w:rPr>
          <w:b/>
        </w:rPr>
      </w:pPr>
    </w:p>
    <w:p w:rsidR="000E79E9" w:rsidRDefault="000E79E9" w:rsidP="00C65BE3">
      <w:pPr>
        <w:rPr>
          <w:b/>
        </w:rPr>
      </w:pPr>
    </w:p>
    <w:p w:rsidR="00074DC4" w:rsidRPr="00F44E79" w:rsidRDefault="00074DC4" w:rsidP="00C65BE3">
      <w:pPr>
        <w:rPr>
          <w:b/>
        </w:rPr>
      </w:pPr>
      <w:r w:rsidRPr="00F44E79">
        <w:rPr>
          <w:b/>
        </w:rPr>
        <w:t>Interval podílu primárních NSPK</w:t>
      </w:r>
    </w:p>
    <w:p w:rsidR="00FF4035" w:rsidRDefault="00FF4035" w:rsidP="00FF4035">
      <w:pPr>
        <w:pStyle w:val="Titulek"/>
        <w:keepNext/>
      </w:pPr>
      <w:bookmarkStart w:id="150" w:name="_Toc31054925"/>
      <w:r>
        <w:t xml:space="preserve">Graf </w:t>
      </w:r>
      <w:r w:rsidR="00163A91">
        <w:rPr>
          <w:noProof/>
        </w:rPr>
        <w:fldChar w:fldCharType="begin"/>
      </w:r>
      <w:r w:rsidR="00335066">
        <w:rPr>
          <w:noProof/>
        </w:rPr>
        <w:instrText xml:space="preserve"> SEQ Graf \* ARABIC </w:instrText>
      </w:r>
      <w:r w:rsidR="00163A91">
        <w:rPr>
          <w:noProof/>
        </w:rPr>
        <w:fldChar w:fldCharType="separate"/>
      </w:r>
      <w:r w:rsidR="007C1EE6">
        <w:rPr>
          <w:noProof/>
        </w:rPr>
        <w:t>7</w:t>
      </w:r>
      <w:r w:rsidR="00163A91">
        <w:rPr>
          <w:noProof/>
        </w:rPr>
        <w:fldChar w:fldCharType="end"/>
      </w:r>
      <w:r>
        <w:t xml:space="preserve"> </w:t>
      </w:r>
      <w:r w:rsidRPr="00050D1E">
        <w:t>Interval podílu primárních NSPK</w:t>
      </w:r>
      <w:bookmarkEnd w:id="150"/>
    </w:p>
    <w:p w:rsidR="00074DC4" w:rsidRDefault="00074DC4" w:rsidP="00074DC4">
      <w:pPr>
        <w:rPr>
          <w:rFonts w:cs="Times New Roman"/>
          <w:szCs w:val="24"/>
        </w:rPr>
      </w:pPr>
      <w:r>
        <w:rPr>
          <w:rFonts w:cs="Times New Roman"/>
          <w:noProof/>
          <w:szCs w:val="24"/>
          <w:lang w:eastAsia="cs-CZ"/>
        </w:rPr>
        <w:drawing>
          <wp:inline distT="0" distB="0" distL="0" distR="0">
            <wp:extent cx="5730240" cy="3375660"/>
            <wp:effectExtent l="0" t="0" r="381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074DC4" w:rsidRDefault="00074DC4" w:rsidP="00074DC4">
      <w:pPr>
        <w:rPr>
          <w:rFonts w:cs="Times New Roman"/>
          <w:szCs w:val="24"/>
        </w:rPr>
      </w:pPr>
      <w:r>
        <w:rPr>
          <w:rFonts w:cs="Times New Roman"/>
          <w:szCs w:val="24"/>
        </w:rPr>
        <w:t xml:space="preserve">Kategorie (intervaly) podílu primárních NSPK, resp. podílu aktivních a pasivních NSPK vykazují </w:t>
      </w:r>
      <w:r w:rsidRPr="00201A0E">
        <w:rPr>
          <w:rFonts w:cs="Times New Roman"/>
          <w:szCs w:val="24"/>
          <w:u w:val="single"/>
        </w:rPr>
        <w:t>největší odlišnosti jeden rok před zjištěním úpadku</w:t>
      </w:r>
      <w:r>
        <w:rPr>
          <w:rFonts w:cs="Times New Roman"/>
          <w:szCs w:val="24"/>
        </w:rPr>
        <w:t xml:space="preserve"> u úpadkových podniků. U úpadkových podniků je patrné shodné kvartilové rozpětí jako v předchozích letech, avšak významně nižší úroveň mediánu, který se v tomto období posunul směrem k horším hodnotám oproti dvěma předchozím obdobím.</w:t>
      </w:r>
    </w:p>
    <w:p w:rsidR="006B3B62" w:rsidRDefault="006B3B62" w:rsidP="00C65BE3">
      <w:pPr>
        <w:rPr>
          <w:b/>
        </w:rPr>
      </w:pPr>
    </w:p>
    <w:p w:rsidR="006B3B62" w:rsidRDefault="006B3B62" w:rsidP="00C65BE3">
      <w:pPr>
        <w:rPr>
          <w:b/>
        </w:rPr>
      </w:pPr>
    </w:p>
    <w:p w:rsidR="006B3B62" w:rsidRDefault="006B3B62" w:rsidP="00C65BE3">
      <w:pPr>
        <w:rPr>
          <w:b/>
        </w:rPr>
      </w:pPr>
    </w:p>
    <w:p w:rsidR="006B3B62" w:rsidRDefault="006B3B62" w:rsidP="00C65BE3">
      <w:pPr>
        <w:rPr>
          <w:b/>
        </w:rPr>
      </w:pPr>
    </w:p>
    <w:p w:rsidR="006B3B62" w:rsidRDefault="006B3B62" w:rsidP="00C65BE3">
      <w:pPr>
        <w:rPr>
          <w:b/>
        </w:rPr>
      </w:pPr>
    </w:p>
    <w:p w:rsidR="006B3B62" w:rsidRDefault="006B3B62" w:rsidP="00C65BE3">
      <w:pPr>
        <w:rPr>
          <w:b/>
        </w:rPr>
      </w:pPr>
    </w:p>
    <w:p w:rsidR="006B3B62" w:rsidRDefault="006B3B62" w:rsidP="00C65BE3">
      <w:pPr>
        <w:rPr>
          <w:b/>
        </w:rPr>
      </w:pPr>
    </w:p>
    <w:p w:rsidR="006B3B62" w:rsidRDefault="006B3B62" w:rsidP="00C65BE3">
      <w:pPr>
        <w:rPr>
          <w:b/>
        </w:rPr>
      </w:pPr>
    </w:p>
    <w:p w:rsidR="006B3B62" w:rsidRDefault="006B3B62" w:rsidP="00C65BE3">
      <w:pPr>
        <w:rPr>
          <w:b/>
        </w:rPr>
      </w:pPr>
    </w:p>
    <w:p w:rsidR="006B3B62" w:rsidRDefault="006B3B62" w:rsidP="00C65BE3">
      <w:pPr>
        <w:rPr>
          <w:b/>
        </w:rPr>
      </w:pPr>
    </w:p>
    <w:p w:rsidR="006B3B62" w:rsidRDefault="006B3B62" w:rsidP="00C65BE3">
      <w:pPr>
        <w:rPr>
          <w:b/>
        </w:rPr>
      </w:pPr>
    </w:p>
    <w:p w:rsidR="006B3B62" w:rsidRDefault="006B3B62" w:rsidP="00C65BE3">
      <w:pPr>
        <w:rPr>
          <w:b/>
        </w:rPr>
      </w:pPr>
    </w:p>
    <w:p w:rsidR="006B3B62" w:rsidRDefault="006B3B62" w:rsidP="00C65BE3">
      <w:pPr>
        <w:rPr>
          <w:b/>
        </w:rPr>
      </w:pPr>
    </w:p>
    <w:p w:rsidR="00074DC4" w:rsidRPr="00F44E79" w:rsidRDefault="00074DC4" w:rsidP="00C65BE3">
      <w:pPr>
        <w:rPr>
          <w:b/>
        </w:rPr>
      </w:pPr>
      <w:r w:rsidRPr="00F44E79">
        <w:rPr>
          <w:b/>
        </w:rPr>
        <w:t>Interval podílu NSPK</w:t>
      </w:r>
    </w:p>
    <w:p w:rsidR="00A75BB6" w:rsidRDefault="00A75BB6" w:rsidP="00A75BB6">
      <w:pPr>
        <w:pStyle w:val="Titulek"/>
        <w:keepNext/>
      </w:pPr>
      <w:bookmarkStart w:id="151" w:name="_Toc31054926"/>
      <w:r>
        <w:t xml:space="preserve">Graf </w:t>
      </w:r>
      <w:r w:rsidR="00163A91">
        <w:rPr>
          <w:noProof/>
        </w:rPr>
        <w:fldChar w:fldCharType="begin"/>
      </w:r>
      <w:r w:rsidR="00335066">
        <w:rPr>
          <w:noProof/>
        </w:rPr>
        <w:instrText xml:space="preserve"> SEQ Graf \* ARABIC </w:instrText>
      </w:r>
      <w:r w:rsidR="00163A91">
        <w:rPr>
          <w:noProof/>
        </w:rPr>
        <w:fldChar w:fldCharType="separate"/>
      </w:r>
      <w:r w:rsidR="007C1EE6">
        <w:rPr>
          <w:noProof/>
        </w:rPr>
        <w:t>8</w:t>
      </w:r>
      <w:r w:rsidR="00163A91">
        <w:rPr>
          <w:noProof/>
        </w:rPr>
        <w:fldChar w:fldCharType="end"/>
      </w:r>
      <w:r>
        <w:t xml:space="preserve"> </w:t>
      </w:r>
      <w:r w:rsidRPr="004A1A9C">
        <w:t>Interval podílu NSPK</w:t>
      </w:r>
      <w:bookmarkEnd w:id="151"/>
    </w:p>
    <w:p w:rsidR="00074DC4" w:rsidRDefault="00074DC4" w:rsidP="00074DC4">
      <w:pPr>
        <w:rPr>
          <w:rFonts w:cs="Times New Roman"/>
          <w:szCs w:val="24"/>
        </w:rPr>
      </w:pPr>
      <w:r>
        <w:rPr>
          <w:rFonts w:cs="Times New Roman"/>
          <w:noProof/>
          <w:szCs w:val="24"/>
          <w:lang w:eastAsia="cs-CZ"/>
        </w:rPr>
        <w:drawing>
          <wp:inline distT="0" distB="0" distL="0" distR="0">
            <wp:extent cx="5730240" cy="3375660"/>
            <wp:effectExtent l="0" t="0" r="381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0E79E9" w:rsidRDefault="00074DC4" w:rsidP="00074DC4">
      <w:r>
        <w:t xml:space="preserve">U kategorií (intervalů) podílu NSPK, tedy celkových NSPK je situace obdobná jak v případě NSPK primárních, avšak v období jednoho roku před zjištěním úpadku u úpadkových podniků nedochází k tak razantnímu poklesu mediánu jako v předchozím případě. </w:t>
      </w:r>
    </w:p>
    <w:p w:rsidR="00074DC4" w:rsidRDefault="00074DC4" w:rsidP="00074DC4">
      <w:r w:rsidRPr="00201A0E">
        <w:rPr>
          <w:u w:val="single"/>
        </w:rPr>
        <w:t>Medián se u úpadkových podniků nachází ve všech třech letech na shodné úrovni</w:t>
      </w:r>
      <w:r>
        <w:t xml:space="preserve">, v období </w:t>
      </w:r>
      <w:r w:rsidRPr="00201A0E">
        <w:rPr>
          <w:u w:val="single"/>
        </w:rPr>
        <w:t>jednoho a dvou let</w:t>
      </w:r>
      <w:r>
        <w:t xml:space="preserve"> před zjištěním úpadku u úpadkových podniků je </w:t>
      </w:r>
      <w:r w:rsidRPr="00201A0E">
        <w:rPr>
          <w:u w:val="single"/>
        </w:rPr>
        <w:t>shodné rovněž kvartilové rozpětí</w:t>
      </w:r>
      <w:r>
        <w:t xml:space="preserve">. Z toho lze vyvodit, že zásadní vliv v odlišnosti ukazatelů podílu aktivních a pasivních NSPK tkví v jejich primárních složkách. Lze tedy konstatovat, že </w:t>
      </w:r>
      <w:r w:rsidRPr="00103675">
        <w:rPr>
          <w:b/>
          <w:bCs/>
        </w:rPr>
        <w:t>jak kategorie primárních NSPK, tak kategorie NSPK (celkových) mají diskriminační potenciál</w:t>
      </w:r>
      <w:r>
        <w:t>.</w:t>
      </w:r>
    </w:p>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74DC4" w:rsidRDefault="00074DC4" w:rsidP="00074DC4">
      <w:pPr>
        <w:rPr>
          <w:b/>
          <w:bCs/>
        </w:rPr>
      </w:pPr>
    </w:p>
    <w:p w:rsidR="00074DC4" w:rsidRDefault="00074DC4" w:rsidP="006B3B62">
      <w:pPr>
        <w:pStyle w:val="Nadpis3"/>
        <w:numPr>
          <w:ilvl w:val="2"/>
          <w:numId w:val="11"/>
        </w:numPr>
      </w:pPr>
      <w:bookmarkStart w:id="152" w:name="_Toc31054483"/>
      <w:r w:rsidRPr="00101AEF">
        <w:t>Ukazatele kapitálové a majetkové struktury</w:t>
      </w:r>
      <w:bookmarkEnd w:id="152"/>
    </w:p>
    <w:p w:rsidR="00F44E79" w:rsidRPr="00101AEF" w:rsidRDefault="00F44E79" w:rsidP="00074DC4">
      <w:pPr>
        <w:rPr>
          <w:b/>
          <w:bCs/>
        </w:rPr>
      </w:pPr>
    </w:p>
    <w:p w:rsidR="00074DC4" w:rsidRPr="00F44E79" w:rsidRDefault="00074DC4" w:rsidP="00F44E79">
      <w:pPr>
        <w:rPr>
          <w:b/>
        </w:rPr>
      </w:pPr>
      <w:r w:rsidRPr="00F44E79">
        <w:rPr>
          <w:b/>
        </w:rPr>
        <w:t>Interval celkové zadluženosti</w:t>
      </w:r>
    </w:p>
    <w:p w:rsidR="00A75BB6" w:rsidRDefault="00A75BB6" w:rsidP="00A75BB6">
      <w:pPr>
        <w:pStyle w:val="Titulek"/>
        <w:keepNext/>
      </w:pPr>
      <w:bookmarkStart w:id="153" w:name="_Toc31054927"/>
      <w:r>
        <w:t xml:space="preserve">Graf </w:t>
      </w:r>
      <w:proofErr w:type="gramStart"/>
      <w:r w:rsidR="00163A91">
        <w:rPr>
          <w:noProof/>
        </w:rPr>
        <w:fldChar w:fldCharType="begin"/>
      </w:r>
      <w:r w:rsidR="00335066">
        <w:rPr>
          <w:noProof/>
        </w:rPr>
        <w:instrText xml:space="preserve"> SEQ Graf \* ARABIC </w:instrText>
      </w:r>
      <w:r w:rsidR="00163A91">
        <w:rPr>
          <w:noProof/>
        </w:rPr>
        <w:fldChar w:fldCharType="separate"/>
      </w:r>
      <w:r w:rsidR="007C1EE6">
        <w:rPr>
          <w:noProof/>
        </w:rPr>
        <w:t>9</w:t>
      </w:r>
      <w:r w:rsidR="00163A91">
        <w:rPr>
          <w:noProof/>
        </w:rPr>
        <w:fldChar w:fldCharType="end"/>
      </w:r>
      <w:r>
        <w:t xml:space="preserve">  </w:t>
      </w:r>
      <w:r w:rsidRPr="003E2386">
        <w:t>Interval</w:t>
      </w:r>
      <w:proofErr w:type="gramEnd"/>
      <w:r w:rsidRPr="003E2386">
        <w:t xml:space="preserve"> celkové zadluženosti</w:t>
      </w:r>
      <w:bookmarkEnd w:id="153"/>
    </w:p>
    <w:p w:rsidR="00074DC4" w:rsidRDefault="00074DC4" w:rsidP="00074DC4">
      <w:pPr>
        <w:rPr>
          <w:rFonts w:cs="Times New Roman"/>
          <w:szCs w:val="24"/>
        </w:rPr>
      </w:pPr>
      <w:r>
        <w:rPr>
          <w:rFonts w:cs="Times New Roman"/>
          <w:noProof/>
          <w:szCs w:val="24"/>
          <w:lang w:eastAsia="cs-CZ"/>
        </w:rPr>
        <w:drawing>
          <wp:inline distT="0" distB="0" distL="0" distR="0">
            <wp:extent cx="5730240" cy="3375660"/>
            <wp:effectExtent l="0" t="0" r="381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F44E79" w:rsidRDefault="00F44E79" w:rsidP="00074DC4">
      <w:pPr>
        <w:rPr>
          <w:rFonts w:cs="Times New Roman"/>
          <w:szCs w:val="24"/>
        </w:rPr>
      </w:pPr>
    </w:p>
    <w:p w:rsidR="000E79E9" w:rsidRDefault="00074DC4" w:rsidP="00074DC4">
      <w:r>
        <w:t xml:space="preserve">U kategorií (intervalů) celkové zadluženosti jsou mezi úpadkovými a bezproblémovými podniky patrné signifikantní rozdíly ve všech třech letech před zjištěním úpadku u úpadkových podniků. </w:t>
      </w:r>
      <w:r w:rsidRPr="00201A0E">
        <w:rPr>
          <w:u w:val="single"/>
        </w:rPr>
        <w:t>Medián</w:t>
      </w:r>
      <w:r>
        <w:t xml:space="preserve"> je u úpadkových podniků na ve všech třech letech </w:t>
      </w:r>
      <w:r w:rsidRPr="00201A0E">
        <w:rPr>
          <w:u w:val="single"/>
        </w:rPr>
        <w:t>na stejné úrovni, která je však výrazně nižší</w:t>
      </w:r>
      <w:r>
        <w:t xml:space="preserve"> (horší) než u podniků bezproblémových. </w:t>
      </w:r>
    </w:p>
    <w:p w:rsidR="00074DC4" w:rsidRDefault="00074DC4" w:rsidP="00074DC4">
      <w:r>
        <w:t xml:space="preserve">V jednom a dvou letech před zjištěním úpadku u úpadkových podniků je pak vidět, že horní kvartil tohoto ukazatele u úpadkových podniků je na úrovni dolního kvartilu podniků bezproblémových. </w:t>
      </w:r>
      <w:r w:rsidRPr="00103675">
        <w:rPr>
          <w:b/>
          <w:bCs/>
        </w:rPr>
        <w:t>U kategorií ukazatele zadluženosti je diskriminační potenciál jednoznačně patrný</w:t>
      </w:r>
      <w:r>
        <w:t>.</w:t>
      </w:r>
    </w:p>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F44E79" w:rsidRDefault="00F44E79" w:rsidP="00074DC4"/>
    <w:p w:rsidR="00074DC4" w:rsidRPr="006B3B62" w:rsidRDefault="00074DC4" w:rsidP="006B3B62">
      <w:pPr>
        <w:rPr>
          <w:b/>
        </w:rPr>
      </w:pPr>
      <w:r w:rsidRPr="006B3B62">
        <w:rPr>
          <w:b/>
        </w:rPr>
        <w:t>Interval stupně krytí DIM</w:t>
      </w:r>
    </w:p>
    <w:p w:rsidR="00A75BB6" w:rsidRDefault="00A75BB6" w:rsidP="00A75BB6">
      <w:pPr>
        <w:pStyle w:val="Titulek"/>
        <w:keepNext/>
      </w:pPr>
      <w:bookmarkStart w:id="154" w:name="_Toc31054928"/>
      <w:r>
        <w:t xml:space="preserve">Graf </w:t>
      </w:r>
      <w:proofErr w:type="gramStart"/>
      <w:r w:rsidR="00163A91">
        <w:rPr>
          <w:noProof/>
        </w:rPr>
        <w:fldChar w:fldCharType="begin"/>
      </w:r>
      <w:r w:rsidR="00335066">
        <w:rPr>
          <w:noProof/>
        </w:rPr>
        <w:instrText xml:space="preserve"> SEQ Graf \* ARABIC </w:instrText>
      </w:r>
      <w:r w:rsidR="00163A91">
        <w:rPr>
          <w:noProof/>
        </w:rPr>
        <w:fldChar w:fldCharType="separate"/>
      </w:r>
      <w:r w:rsidR="007C1EE6">
        <w:rPr>
          <w:noProof/>
        </w:rPr>
        <w:t>10</w:t>
      </w:r>
      <w:r w:rsidR="00163A91">
        <w:rPr>
          <w:noProof/>
        </w:rPr>
        <w:fldChar w:fldCharType="end"/>
      </w:r>
      <w:r>
        <w:t xml:space="preserve">  </w:t>
      </w:r>
      <w:r w:rsidRPr="00F424F7">
        <w:t>Interval</w:t>
      </w:r>
      <w:proofErr w:type="gramEnd"/>
      <w:r w:rsidRPr="00F424F7">
        <w:t xml:space="preserve"> stupně krytí DIM</w:t>
      </w:r>
      <w:bookmarkEnd w:id="154"/>
    </w:p>
    <w:p w:rsidR="00074DC4" w:rsidRDefault="00074DC4" w:rsidP="00074DC4">
      <w:pPr>
        <w:rPr>
          <w:rFonts w:cs="Times New Roman"/>
          <w:szCs w:val="24"/>
        </w:rPr>
      </w:pPr>
      <w:r>
        <w:rPr>
          <w:rFonts w:cs="Times New Roman"/>
          <w:noProof/>
          <w:szCs w:val="24"/>
          <w:lang w:eastAsia="cs-CZ"/>
        </w:rPr>
        <w:drawing>
          <wp:inline distT="0" distB="0" distL="0" distR="0">
            <wp:extent cx="5730240" cy="3375660"/>
            <wp:effectExtent l="0" t="0" r="381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0E79E9" w:rsidRDefault="00074DC4" w:rsidP="00074DC4">
      <w:pPr>
        <w:rPr>
          <w:rFonts w:cs="Times New Roman"/>
          <w:szCs w:val="24"/>
        </w:rPr>
      </w:pPr>
      <w:r>
        <w:rPr>
          <w:rFonts w:cs="Times New Roman"/>
          <w:szCs w:val="24"/>
        </w:rPr>
        <w:t xml:space="preserve">Kategorie (intervaly) stupně krytí dlouhodobého investičního majetku mají obdobný vývoj, jako ukazatele zadlužení. Výrazný rozdíl je patrný zejména v období jednoho roku před zjištěním úpadku u úpadkových podniků, kdy horní kvartil se u těchto podniků rovněž nachází na úrovni dolního kvartilu podniků bezproblémových. </w:t>
      </w:r>
    </w:p>
    <w:p w:rsidR="00074DC4" w:rsidRDefault="00074DC4" w:rsidP="00074DC4">
      <w:pPr>
        <w:rPr>
          <w:rFonts w:cs="Times New Roman"/>
          <w:szCs w:val="24"/>
        </w:rPr>
      </w:pPr>
      <w:r>
        <w:rPr>
          <w:rFonts w:cs="Times New Roman"/>
          <w:szCs w:val="24"/>
        </w:rPr>
        <w:t xml:space="preserve">Významné rozdíly jsou patrné i v období dvou a tří let před zjištěním úpadku u úpadkových podniků. </w:t>
      </w:r>
      <w:r w:rsidRPr="00103675">
        <w:rPr>
          <w:rFonts w:cs="Times New Roman"/>
          <w:b/>
          <w:bCs/>
          <w:szCs w:val="24"/>
        </w:rPr>
        <w:t>Kategorie intervalu stupně krytí dlouhodobého majetku rovněž vykazují diskriminační potenciál</w:t>
      </w:r>
      <w:r>
        <w:rPr>
          <w:rFonts w:cs="Times New Roman"/>
          <w:szCs w:val="24"/>
        </w:rPr>
        <w:t>.</w:t>
      </w:r>
    </w:p>
    <w:p w:rsidR="00074DC4" w:rsidRDefault="00074DC4" w:rsidP="00074DC4">
      <w:pPr>
        <w:pStyle w:val="Bezmezer"/>
      </w:pPr>
    </w:p>
    <w:p w:rsidR="000E79E9" w:rsidRDefault="000E79E9" w:rsidP="00C65BE3">
      <w:pPr>
        <w:rPr>
          <w:b/>
        </w:rPr>
      </w:pPr>
    </w:p>
    <w:p w:rsidR="000E79E9" w:rsidRDefault="000E79E9" w:rsidP="00C65BE3">
      <w:pPr>
        <w:rPr>
          <w:b/>
        </w:rPr>
      </w:pPr>
    </w:p>
    <w:p w:rsidR="000E79E9" w:rsidRDefault="000E79E9" w:rsidP="00C65BE3">
      <w:pPr>
        <w:rPr>
          <w:b/>
        </w:rPr>
      </w:pPr>
    </w:p>
    <w:p w:rsidR="000E79E9" w:rsidRDefault="000E79E9" w:rsidP="00C65BE3">
      <w:pPr>
        <w:rPr>
          <w:b/>
        </w:rPr>
      </w:pPr>
    </w:p>
    <w:p w:rsidR="000E79E9" w:rsidRDefault="000E79E9" w:rsidP="00C65BE3">
      <w:pPr>
        <w:rPr>
          <w:b/>
        </w:rPr>
      </w:pPr>
    </w:p>
    <w:p w:rsidR="000E79E9" w:rsidRDefault="000E79E9" w:rsidP="00C65BE3">
      <w:pPr>
        <w:rPr>
          <w:b/>
        </w:rPr>
      </w:pPr>
    </w:p>
    <w:p w:rsidR="000E79E9" w:rsidRDefault="000E79E9" w:rsidP="00C65BE3">
      <w:pPr>
        <w:rPr>
          <w:b/>
        </w:rPr>
      </w:pPr>
    </w:p>
    <w:p w:rsidR="000E79E9" w:rsidRDefault="000E79E9" w:rsidP="00C65BE3">
      <w:pPr>
        <w:rPr>
          <w:b/>
        </w:rPr>
      </w:pPr>
    </w:p>
    <w:p w:rsidR="000E79E9" w:rsidRDefault="000E79E9" w:rsidP="00C65BE3">
      <w:pPr>
        <w:rPr>
          <w:b/>
        </w:rPr>
      </w:pPr>
    </w:p>
    <w:p w:rsidR="000E79E9" w:rsidRDefault="000E79E9" w:rsidP="00C65BE3">
      <w:pPr>
        <w:rPr>
          <w:b/>
        </w:rPr>
      </w:pPr>
    </w:p>
    <w:p w:rsidR="000E79E9" w:rsidRDefault="000E79E9" w:rsidP="00C65BE3">
      <w:pPr>
        <w:rPr>
          <w:b/>
        </w:rPr>
      </w:pPr>
    </w:p>
    <w:p w:rsidR="000E79E9" w:rsidRDefault="000E79E9" w:rsidP="00C65BE3">
      <w:pPr>
        <w:rPr>
          <w:b/>
        </w:rPr>
      </w:pPr>
    </w:p>
    <w:p w:rsidR="00074DC4" w:rsidRDefault="00074DC4" w:rsidP="00C65BE3">
      <w:pPr>
        <w:rPr>
          <w:b/>
        </w:rPr>
      </w:pPr>
      <w:r w:rsidRPr="00F44E79">
        <w:rPr>
          <w:b/>
        </w:rPr>
        <w:t>Interval podílu DIM na aktivech</w:t>
      </w:r>
    </w:p>
    <w:p w:rsidR="00A75BB6" w:rsidRDefault="00A75BB6" w:rsidP="00A75BB6">
      <w:pPr>
        <w:pStyle w:val="Titulek"/>
        <w:keepNext/>
      </w:pPr>
      <w:bookmarkStart w:id="155" w:name="_Toc31054929"/>
      <w:r>
        <w:t xml:space="preserve">Graf </w:t>
      </w:r>
      <w:proofErr w:type="gramStart"/>
      <w:r w:rsidR="00163A91">
        <w:rPr>
          <w:noProof/>
        </w:rPr>
        <w:fldChar w:fldCharType="begin"/>
      </w:r>
      <w:r w:rsidR="00335066">
        <w:rPr>
          <w:noProof/>
        </w:rPr>
        <w:instrText xml:space="preserve"> SEQ Graf \* ARABIC </w:instrText>
      </w:r>
      <w:r w:rsidR="00163A91">
        <w:rPr>
          <w:noProof/>
        </w:rPr>
        <w:fldChar w:fldCharType="separate"/>
      </w:r>
      <w:r w:rsidR="007C1EE6">
        <w:rPr>
          <w:noProof/>
        </w:rPr>
        <w:t>11</w:t>
      </w:r>
      <w:r w:rsidR="00163A91">
        <w:rPr>
          <w:noProof/>
        </w:rPr>
        <w:fldChar w:fldCharType="end"/>
      </w:r>
      <w:r>
        <w:t xml:space="preserve">  </w:t>
      </w:r>
      <w:r w:rsidRPr="005536DC">
        <w:t>Interval</w:t>
      </w:r>
      <w:proofErr w:type="gramEnd"/>
      <w:r w:rsidRPr="005536DC">
        <w:t xml:space="preserve"> stupně krytí DIM</w:t>
      </w:r>
      <w:bookmarkEnd w:id="155"/>
    </w:p>
    <w:p w:rsidR="00074DC4" w:rsidRDefault="00074DC4" w:rsidP="00074DC4">
      <w:pPr>
        <w:rPr>
          <w:rFonts w:cs="Times New Roman"/>
          <w:szCs w:val="24"/>
        </w:rPr>
      </w:pPr>
      <w:r>
        <w:rPr>
          <w:rFonts w:cs="Times New Roman"/>
          <w:noProof/>
          <w:szCs w:val="24"/>
          <w:lang w:eastAsia="cs-CZ"/>
        </w:rPr>
        <w:drawing>
          <wp:inline distT="0" distB="0" distL="0" distR="0">
            <wp:extent cx="5730240" cy="3375660"/>
            <wp:effectExtent l="0" t="0" r="381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0E79E9" w:rsidRDefault="00074DC4" w:rsidP="00074DC4">
      <w:pPr>
        <w:rPr>
          <w:rFonts w:cs="Times New Roman"/>
          <w:szCs w:val="24"/>
        </w:rPr>
      </w:pPr>
      <w:r>
        <w:rPr>
          <w:rFonts w:cs="Times New Roman"/>
          <w:szCs w:val="24"/>
        </w:rPr>
        <w:t xml:space="preserve">Kategorie (intervaly) podílu dlouhodobého investičního majetku na aktivech (jako ukazatel investiční náročnosti) na rozdíl od všech předchozích ukazatelů </w:t>
      </w:r>
      <w:r w:rsidRPr="00201A0E">
        <w:rPr>
          <w:rFonts w:cs="Times New Roman"/>
          <w:szCs w:val="24"/>
          <w:u w:val="single"/>
        </w:rPr>
        <w:t>nevykazují signifikantní odlišnosti</w:t>
      </w:r>
      <w:r>
        <w:rPr>
          <w:rFonts w:cs="Times New Roman"/>
          <w:szCs w:val="24"/>
        </w:rPr>
        <w:t xml:space="preserve"> mezi úpadkovými a bezproblémovými podniky. </w:t>
      </w:r>
    </w:p>
    <w:p w:rsidR="000E79E9" w:rsidRDefault="00074DC4" w:rsidP="00074DC4">
      <w:pPr>
        <w:rPr>
          <w:rFonts w:cs="Times New Roman"/>
          <w:szCs w:val="24"/>
        </w:rPr>
      </w:pPr>
      <w:r>
        <w:rPr>
          <w:rFonts w:cs="Times New Roman"/>
          <w:szCs w:val="24"/>
        </w:rPr>
        <w:t>Medián je u obou skupin ve všech třech letech na shodné úrovni, určité rozdíly pak lze pozorovat u kvartilového rozpětí. V zásadě lze ale konstatovat, že u tohoto ukazatele se významná odlišovací schopnost úpadkových a bezproblémových podniků neukazuje.</w:t>
      </w:r>
    </w:p>
    <w:p w:rsidR="00074DC4" w:rsidRDefault="00074DC4" w:rsidP="00074DC4">
      <w:pPr>
        <w:rPr>
          <w:rFonts w:cs="Times New Roman"/>
          <w:szCs w:val="24"/>
        </w:rPr>
      </w:pPr>
      <w:r>
        <w:rPr>
          <w:rFonts w:cs="Times New Roman"/>
          <w:szCs w:val="24"/>
        </w:rPr>
        <w:t xml:space="preserve"> Na rozdíl do předchozích ukazatelů, resp. jejich kategorií, </w:t>
      </w:r>
      <w:r w:rsidRPr="00103675">
        <w:rPr>
          <w:rFonts w:cs="Times New Roman"/>
          <w:b/>
          <w:bCs/>
          <w:szCs w:val="24"/>
        </w:rPr>
        <w:t>u kategorií podílu dlouhodobého majetku na aktivech diskriminační potenciál patrný není</w:t>
      </w:r>
      <w:r>
        <w:rPr>
          <w:rFonts w:cs="Times New Roman"/>
          <w:szCs w:val="24"/>
        </w:rPr>
        <w:t>.</w:t>
      </w:r>
    </w:p>
    <w:p w:rsidR="000E79E9" w:rsidRDefault="000E79E9" w:rsidP="00074DC4">
      <w:pPr>
        <w:rPr>
          <w:rFonts w:cs="Times New Roman"/>
          <w:szCs w:val="24"/>
        </w:rPr>
      </w:pPr>
    </w:p>
    <w:p w:rsidR="000E79E9" w:rsidRDefault="000E79E9" w:rsidP="00074DC4">
      <w:pPr>
        <w:rPr>
          <w:rFonts w:cs="Times New Roman"/>
          <w:szCs w:val="24"/>
        </w:rPr>
      </w:pPr>
    </w:p>
    <w:p w:rsidR="000E79E9" w:rsidRDefault="000E79E9" w:rsidP="00074DC4">
      <w:pPr>
        <w:rPr>
          <w:rFonts w:cs="Times New Roman"/>
          <w:szCs w:val="24"/>
        </w:rPr>
      </w:pPr>
    </w:p>
    <w:p w:rsidR="000E79E9" w:rsidRDefault="000E79E9" w:rsidP="00074DC4">
      <w:pPr>
        <w:rPr>
          <w:rFonts w:cs="Times New Roman"/>
          <w:szCs w:val="24"/>
        </w:rPr>
      </w:pPr>
    </w:p>
    <w:p w:rsidR="000E79E9" w:rsidRDefault="000E79E9" w:rsidP="00074DC4">
      <w:pPr>
        <w:rPr>
          <w:rFonts w:cs="Times New Roman"/>
          <w:szCs w:val="24"/>
        </w:rPr>
      </w:pPr>
    </w:p>
    <w:p w:rsidR="000E79E9" w:rsidRDefault="000E79E9" w:rsidP="00074DC4">
      <w:pPr>
        <w:rPr>
          <w:rFonts w:cs="Times New Roman"/>
          <w:szCs w:val="24"/>
        </w:rPr>
      </w:pPr>
    </w:p>
    <w:p w:rsidR="000E79E9" w:rsidRDefault="000E79E9" w:rsidP="00074DC4">
      <w:pPr>
        <w:rPr>
          <w:rFonts w:cs="Times New Roman"/>
          <w:szCs w:val="24"/>
        </w:rPr>
      </w:pPr>
    </w:p>
    <w:p w:rsidR="000E79E9" w:rsidRDefault="000E79E9" w:rsidP="00074DC4">
      <w:pPr>
        <w:rPr>
          <w:rFonts w:cs="Times New Roman"/>
          <w:szCs w:val="24"/>
        </w:rPr>
      </w:pPr>
    </w:p>
    <w:p w:rsidR="00074DC4" w:rsidRDefault="00074DC4" w:rsidP="00074DC4"/>
    <w:p w:rsidR="00074DC4" w:rsidRDefault="00074DC4" w:rsidP="006B3B62">
      <w:pPr>
        <w:pStyle w:val="Nadpis3"/>
        <w:numPr>
          <w:ilvl w:val="2"/>
          <w:numId w:val="11"/>
        </w:numPr>
      </w:pPr>
      <w:bookmarkStart w:id="156" w:name="_Toc31054484"/>
      <w:r w:rsidRPr="00101AEF">
        <w:t>Ukazatele rentability aktiv</w:t>
      </w:r>
      <w:bookmarkEnd w:id="156"/>
    </w:p>
    <w:p w:rsidR="00F44E79" w:rsidRPr="00F44E79" w:rsidRDefault="00F44E79" w:rsidP="00F44E79">
      <w:pPr>
        <w:rPr>
          <w:lang w:eastAsia="cs-CZ"/>
        </w:rPr>
      </w:pPr>
    </w:p>
    <w:p w:rsidR="00074DC4" w:rsidRPr="00F44E79" w:rsidRDefault="00074DC4" w:rsidP="00D5026B">
      <w:pPr>
        <w:rPr>
          <w:b/>
        </w:rPr>
      </w:pPr>
      <w:r w:rsidRPr="00F44E79">
        <w:rPr>
          <w:b/>
        </w:rPr>
        <w:t>Interval rentability aktiv – primární EBITDA</w:t>
      </w:r>
    </w:p>
    <w:p w:rsidR="00A75BB6" w:rsidRDefault="00A75BB6" w:rsidP="00A75BB6">
      <w:pPr>
        <w:pStyle w:val="Titulek"/>
        <w:keepNext/>
      </w:pPr>
      <w:bookmarkStart w:id="157" w:name="_Toc31054930"/>
      <w:r>
        <w:t xml:space="preserve">Graf </w:t>
      </w:r>
      <w:proofErr w:type="gramStart"/>
      <w:r w:rsidR="00163A91">
        <w:rPr>
          <w:noProof/>
        </w:rPr>
        <w:fldChar w:fldCharType="begin"/>
      </w:r>
      <w:r w:rsidR="00335066">
        <w:rPr>
          <w:noProof/>
        </w:rPr>
        <w:instrText xml:space="preserve"> SEQ Graf \* ARABIC </w:instrText>
      </w:r>
      <w:r w:rsidR="00163A91">
        <w:rPr>
          <w:noProof/>
        </w:rPr>
        <w:fldChar w:fldCharType="separate"/>
      </w:r>
      <w:r w:rsidR="007C1EE6">
        <w:rPr>
          <w:noProof/>
        </w:rPr>
        <w:t>12</w:t>
      </w:r>
      <w:r w:rsidR="00163A91">
        <w:rPr>
          <w:noProof/>
        </w:rPr>
        <w:fldChar w:fldCharType="end"/>
      </w:r>
      <w:r>
        <w:t xml:space="preserve">  </w:t>
      </w:r>
      <w:r w:rsidRPr="008F2DD6">
        <w:t>Interval</w:t>
      </w:r>
      <w:proofErr w:type="gramEnd"/>
      <w:r w:rsidRPr="008F2DD6">
        <w:t xml:space="preserve"> rentability aktiv – primární EBITDA</w:t>
      </w:r>
      <w:bookmarkEnd w:id="157"/>
    </w:p>
    <w:p w:rsidR="00074DC4" w:rsidRDefault="00074DC4" w:rsidP="00074DC4">
      <w:pPr>
        <w:rPr>
          <w:rFonts w:cs="Times New Roman"/>
          <w:szCs w:val="24"/>
        </w:rPr>
      </w:pPr>
      <w:r>
        <w:rPr>
          <w:rFonts w:cs="Times New Roman"/>
          <w:noProof/>
          <w:szCs w:val="24"/>
          <w:lang w:eastAsia="cs-CZ"/>
        </w:rPr>
        <w:drawing>
          <wp:inline distT="0" distB="0" distL="0" distR="0">
            <wp:extent cx="5730240" cy="3375660"/>
            <wp:effectExtent l="0" t="0" r="381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074DC4" w:rsidRDefault="00074DC4" w:rsidP="00074DC4">
      <w:r>
        <w:t>Kategorie (intervaly) rentability aktiv měřené ziskovou úrovní primární EBITDA (tedy základní provozní ziskovou úrovní) odlišují obě skupiny podniků ve všech třech sledovaných obdobích. Nejvýraznější odlišnost je možné pozorovat v období jednoho roku před zjištěním úpadku u úpadkových podniků, kde je opět (jako již v řadě předchozích případů) horní kvartil u úpadkových podniků na úrovni dolního kvartilu podniku bezproblémových.</w:t>
      </w:r>
    </w:p>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E79E9" w:rsidRDefault="000E79E9" w:rsidP="00074DC4"/>
    <w:p w:rsidR="00074DC4" w:rsidRDefault="00074DC4" w:rsidP="00074DC4">
      <w:pPr>
        <w:pStyle w:val="Bezmezer"/>
      </w:pPr>
    </w:p>
    <w:p w:rsidR="00074DC4" w:rsidRDefault="00074DC4" w:rsidP="00074DC4">
      <w:pPr>
        <w:pStyle w:val="Bezmezer"/>
        <w:rPr>
          <w:b/>
        </w:rPr>
      </w:pPr>
      <w:r w:rsidRPr="00F44E79">
        <w:rPr>
          <w:b/>
        </w:rPr>
        <w:t>Interval rentability aktiv – EBITDA</w:t>
      </w:r>
    </w:p>
    <w:p w:rsidR="00F44E79" w:rsidRPr="00F44E79" w:rsidRDefault="00F44E79" w:rsidP="00074DC4">
      <w:pPr>
        <w:pStyle w:val="Bezmezer"/>
        <w:rPr>
          <w:b/>
        </w:rPr>
      </w:pPr>
    </w:p>
    <w:p w:rsidR="00A75BB6" w:rsidRDefault="00A75BB6" w:rsidP="00A75BB6">
      <w:pPr>
        <w:pStyle w:val="Titulek"/>
        <w:keepNext/>
      </w:pPr>
      <w:bookmarkStart w:id="158" w:name="_Toc31054931"/>
      <w:r>
        <w:t xml:space="preserve">Graf </w:t>
      </w:r>
      <w:r w:rsidR="00163A91">
        <w:rPr>
          <w:noProof/>
        </w:rPr>
        <w:fldChar w:fldCharType="begin"/>
      </w:r>
      <w:r w:rsidR="00335066">
        <w:rPr>
          <w:noProof/>
        </w:rPr>
        <w:instrText xml:space="preserve"> SEQ Graf \* ARABIC </w:instrText>
      </w:r>
      <w:r w:rsidR="00163A91">
        <w:rPr>
          <w:noProof/>
        </w:rPr>
        <w:fldChar w:fldCharType="separate"/>
      </w:r>
      <w:r w:rsidR="007C1EE6">
        <w:rPr>
          <w:noProof/>
        </w:rPr>
        <w:t>13</w:t>
      </w:r>
      <w:r w:rsidR="00163A91">
        <w:rPr>
          <w:noProof/>
        </w:rPr>
        <w:fldChar w:fldCharType="end"/>
      </w:r>
      <w:r>
        <w:t xml:space="preserve"> </w:t>
      </w:r>
      <w:r w:rsidRPr="006C5851">
        <w:t>Interval rentability aktiv – EBITDA</w:t>
      </w:r>
      <w:bookmarkEnd w:id="158"/>
    </w:p>
    <w:p w:rsidR="00074DC4" w:rsidRDefault="00074DC4" w:rsidP="00074DC4">
      <w:pPr>
        <w:rPr>
          <w:rFonts w:cs="Times New Roman"/>
          <w:szCs w:val="24"/>
        </w:rPr>
      </w:pPr>
      <w:r>
        <w:rPr>
          <w:rFonts w:cs="Times New Roman"/>
          <w:noProof/>
          <w:szCs w:val="24"/>
          <w:lang w:eastAsia="cs-CZ"/>
        </w:rPr>
        <w:drawing>
          <wp:inline distT="0" distB="0" distL="0" distR="0">
            <wp:extent cx="5730240" cy="3375660"/>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D5026B" w:rsidRDefault="00D5026B" w:rsidP="00074DC4"/>
    <w:p w:rsidR="00074DC4" w:rsidRDefault="00074DC4" w:rsidP="00074DC4">
      <w:pPr>
        <w:rPr>
          <w:b/>
        </w:rPr>
      </w:pPr>
      <w:r w:rsidRPr="00F44E79">
        <w:rPr>
          <w:b/>
        </w:rPr>
        <w:t>Interval rentability aktiv – EBIT</w:t>
      </w:r>
    </w:p>
    <w:p w:rsidR="00A75BB6" w:rsidRDefault="00A75BB6" w:rsidP="00A75BB6">
      <w:pPr>
        <w:pStyle w:val="Titulek"/>
        <w:keepNext/>
      </w:pPr>
      <w:bookmarkStart w:id="159" w:name="_Toc31054932"/>
      <w:r>
        <w:t xml:space="preserve">Graf </w:t>
      </w:r>
      <w:r w:rsidR="00163A91">
        <w:rPr>
          <w:noProof/>
        </w:rPr>
        <w:fldChar w:fldCharType="begin"/>
      </w:r>
      <w:r w:rsidR="00335066">
        <w:rPr>
          <w:noProof/>
        </w:rPr>
        <w:instrText xml:space="preserve"> SEQ Graf \* ARABIC </w:instrText>
      </w:r>
      <w:r w:rsidR="00163A91">
        <w:rPr>
          <w:noProof/>
        </w:rPr>
        <w:fldChar w:fldCharType="separate"/>
      </w:r>
      <w:r w:rsidR="007C1EE6">
        <w:rPr>
          <w:noProof/>
        </w:rPr>
        <w:t>14</w:t>
      </w:r>
      <w:r w:rsidR="00163A91">
        <w:rPr>
          <w:noProof/>
        </w:rPr>
        <w:fldChar w:fldCharType="end"/>
      </w:r>
      <w:r>
        <w:t xml:space="preserve"> </w:t>
      </w:r>
      <w:r w:rsidRPr="00FA0D69">
        <w:t>Interval rentability aktiv – EBIT</w:t>
      </w:r>
      <w:bookmarkEnd w:id="159"/>
    </w:p>
    <w:p w:rsidR="00074DC4" w:rsidRDefault="00074DC4" w:rsidP="00074DC4">
      <w:pPr>
        <w:rPr>
          <w:rFonts w:cs="Times New Roman"/>
          <w:szCs w:val="24"/>
        </w:rPr>
      </w:pPr>
      <w:r>
        <w:rPr>
          <w:rFonts w:cs="Times New Roman"/>
          <w:noProof/>
          <w:szCs w:val="24"/>
          <w:lang w:eastAsia="cs-CZ"/>
        </w:rPr>
        <w:drawing>
          <wp:inline distT="0" distB="0" distL="0" distR="0">
            <wp:extent cx="5730240" cy="3375660"/>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074DC4" w:rsidRDefault="00074DC4" w:rsidP="00074DC4">
      <w:r>
        <w:lastRenderedPageBreak/>
        <w:t xml:space="preserve">U kategorií (intervalů) rentability aktiv měřené dalšími ziskovými úrovněmi je situace téměř identická. Z toho lze usoudit, že základní rozdíly mezi oběma skupinami podniků jsou založeny již na primární provozní úrovni. </w:t>
      </w:r>
      <w:r w:rsidRPr="00103675">
        <w:rPr>
          <w:b/>
          <w:bCs/>
        </w:rPr>
        <w:t>Diskriminační potenciál lze tak pozorovat u všech ukazatelů rentability aktiv, resp. jejich kategorií</w:t>
      </w:r>
      <w:r>
        <w:t>.</w:t>
      </w:r>
    </w:p>
    <w:p w:rsidR="00074DC4" w:rsidRDefault="00074DC4" w:rsidP="00074DC4">
      <w:pPr>
        <w:rPr>
          <w:b/>
          <w:bCs/>
        </w:rPr>
      </w:pPr>
    </w:p>
    <w:p w:rsidR="00074DC4" w:rsidRDefault="00074DC4" w:rsidP="006B3B62">
      <w:pPr>
        <w:pStyle w:val="Nadpis3"/>
        <w:numPr>
          <w:ilvl w:val="2"/>
          <w:numId w:val="11"/>
        </w:numPr>
      </w:pPr>
      <w:bookmarkStart w:id="160" w:name="_Toc31054485"/>
      <w:r w:rsidRPr="00101AEF">
        <w:t>Ukazatele doby obratu nepeněžních složek pracovního kapitálu</w:t>
      </w:r>
      <w:bookmarkEnd w:id="160"/>
    </w:p>
    <w:p w:rsidR="00F44E79" w:rsidRPr="00F44E79" w:rsidRDefault="00F44E79" w:rsidP="00F44E79">
      <w:pPr>
        <w:rPr>
          <w:lang w:eastAsia="cs-CZ"/>
        </w:rPr>
      </w:pPr>
    </w:p>
    <w:p w:rsidR="00074DC4" w:rsidRPr="00F44E79" w:rsidRDefault="00074DC4" w:rsidP="00D5026B">
      <w:pPr>
        <w:rPr>
          <w:b/>
        </w:rPr>
      </w:pPr>
      <w:r w:rsidRPr="00F44E79">
        <w:rPr>
          <w:b/>
        </w:rPr>
        <w:t>Interval doby obratu zásob</w:t>
      </w:r>
    </w:p>
    <w:p w:rsidR="00A75BB6" w:rsidRDefault="00A75BB6" w:rsidP="00A75BB6">
      <w:pPr>
        <w:pStyle w:val="Titulek"/>
        <w:keepNext/>
      </w:pPr>
      <w:bookmarkStart w:id="161" w:name="_Toc31054933"/>
      <w:r>
        <w:t xml:space="preserve">Graf </w:t>
      </w:r>
      <w:proofErr w:type="gramStart"/>
      <w:r w:rsidR="00163A91">
        <w:rPr>
          <w:noProof/>
        </w:rPr>
        <w:fldChar w:fldCharType="begin"/>
      </w:r>
      <w:r w:rsidR="00335066">
        <w:rPr>
          <w:noProof/>
        </w:rPr>
        <w:instrText xml:space="preserve"> SEQ Graf \* ARABIC </w:instrText>
      </w:r>
      <w:r w:rsidR="00163A91">
        <w:rPr>
          <w:noProof/>
        </w:rPr>
        <w:fldChar w:fldCharType="separate"/>
      </w:r>
      <w:r w:rsidR="007C1EE6">
        <w:rPr>
          <w:noProof/>
        </w:rPr>
        <w:t>15</w:t>
      </w:r>
      <w:r w:rsidR="00163A91">
        <w:rPr>
          <w:noProof/>
        </w:rPr>
        <w:fldChar w:fldCharType="end"/>
      </w:r>
      <w:r>
        <w:t xml:space="preserve">  Interval</w:t>
      </w:r>
      <w:proofErr w:type="gramEnd"/>
      <w:r>
        <w:t xml:space="preserve"> doby obratu zásob</w:t>
      </w:r>
      <w:bookmarkEnd w:id="161"/>
    </w:p>
    <w:p w:rsidR="00074DC4" w:rsidRDefault="00074DC4" w:rsidP="00074DC4">
      <w:pPr>
        <w:rPr>
          <w:rFonts w:cs="Times New Roman"/>
          <w:szCs w:val="24"/>
        </w:rPr>
      </w:pPr>
      <w:r>
        <w:rPr>
          <w:rFonts w:cs="Times New Roman"/>
          <w:noProof/>
          <w:szCs w:val="24"/>
          <w:lang w:eastAsia="cs-CZ"/>
        </w:rPr>
        <w:drawing>
          <wp:inline distT="0" distB="0" distL="0" distR="0">
            <wp:extent cx="5730240" cy="3375660"/>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074DC4" w:rsidRDefault="00074DC4" w:rsidP="00074DC4">
      <w:r>
        <w:t xml:space="preserve">Kategorie (intervaly) doby obratu zásob jsou dalším ukazatelem, kde </w:t>
      </w:r>
      <w:r w:rsidRPr="00201A0E">
        <w:rPr>
          <w:u w:val="single"/>
        </w:rPr>
        <w:t>nejsou patrné signifikantní rozdíly</w:t>
      </w:r>
      <w:r>
        <w:t xml:space="preserve"> mezi oběma skupinami podniků. Stejně jako v případě kategorií podílu dlouhodobého investičního majetku na aktivech je i u tohoto ukazatele medián ve všech třech letech v obou skupinách na shodné úrovni, určité rozdíly je možno pozorovat v kvartilovém rozpětí a úrovni obou kvartilů. </w:t>
      </w:r>
      <w:r w:rsidRPr="00103675">
        <w:rPr>
          <w:b/>
          <w:bCs/>
        </w:rPr>
        <w:t>U kategorií doby obratu zásob není diskriminační potenciál patrný</w:t>
      </w:r>
      <w:r>
        <w:t>.</w:t>
      </w:r>
    </w:p>
    <w:p w:rsidR="00F84B1B" w:rsidRDefault="00F84B1B" w:rsidP="00074DC4"/>
    <w:p w:rsidR="00F84B1B" w:rsidRDefault="00F84B1B" w:rsidP="00074DC4"/>
    <w:p w:rsidR="00F84B1B" w:rsidRDefault="00F84B1B" w:rsidP="00074DC4"/>
    <w:p w:rsidR="00F84B1B" w:rsidRDefault="00F84B1B" w:rsidP="00074DC4"/>
    <w:p w:rsidR="00F84B1B" w:rsidRDefault="00F84B1B" w:rsidP="00074DC4"/>
    <w:p w:rsidR="00F84B1B" w:rsidRDefault="00F84B1B" w:rsidP="00074DC4"/>
    <w:p w:rsidR="00074DC4" w:rsidRPr="00F44E79" w:rsidRDefault="00074DC4" w:rsidP="00D5026B">
      <w:pPr>
        <w:rPr>
          <w:b/>
        </w:rPr>
      </w:pPr>
      <w:r w:rsidRPr="00F44E79">
        <w:rPr>
          <w:b/>
        </w:rPr>
        <w:lastRenderedPageBreak/>
        <w:t>Interval doby obratu pohledávek</w:t>
      </w:r>
    </w:p>
    <w:p w:rsidR="00A75BB6" w:rsidRDefault="00A75BB6" w:rsidP="00A75BB6">
      <w:pPr>
        <w:pStyle w:val="Titulek"/>
        <w:keepNext/>
      </w:pPr>
      <w:bookmarkStart w:id="162" w:name="_Toc31054934"/>
      <w:r>
        <w:t xml:space="preserve">Graf </w:t>
      </w:r>
      <w:proofErr w:type="gramStart"/>
      <w:r w:rsidR="00163A91">
        <w:rPr>
          <w:noProof/>
        </w:rPr>
        <w:fldChar w:fldCharType="begin"/>
      </w:r>
      <w:r w:rsidR="00335066">
        <w:rPr>
          <w:noProof/>
        </w:rPr>
        <w:instrText xml:space="preserve"> SEQ Graf \* ARABIC </w:instrText>
      </w:r>
      <w:r w:rsidR="00163A91">
        <w:rPr>
          <w:noProof/>
        </w:rPr>
        <w:fldChar w:fldCharType="separate"/>
      </w:r>
      <w:r w:rsidR="007C1EE6">
        <w:rPr>
          <w:noProof/>
        </w:rPr>
        <w:t>16</w:t>
      </w:r>
      <w:r w:rsidR="00163A91">
        <w:rPr>
          <w:noProof/>
        </w:rPr>
        <w:fldChar w:fldCharType="end"/>
      </w:r>
      <w:r>
        <w:t xml:space="preserve">  </w:t>
      </w:r>
      <w:r w:rsidRPr="00453D41">
        <w:t>Interval</w:t>
      </w:r>
      <w:proofErr w:type="gramEnd"/>
      <w:r w:rsidRPr="00453D41">
        <w:t xml:space="preserve"> doby obratu pohledávek</w:t>
      </w:r>
      <w:bookmarkEnd w:id="162"/>
    </w:p>
    <w:p w:rsidR="00074DC4" w:rsidRDefault="00074DC4" w:rsidP="00074DC4">
      <w:pPr>
        <w:rPr>
          <w:rFonts w:cs="Times New Roman"/>
          <w:szCs w:val="24"/>
        </w:rPr>
      </w:pPr>
      <w:r>
        <w:rPr>
          <w:rFonts w:cs="Times New Roman"/>
          <w:noProof/>
          <w:szCs w:val="24"/>
          <w:lang w:eastAsia="cs-CZ"/>
        </w:rPr>
        <w:drawing>
          <wp:inline distT="0" distB="0" distL="0" distR="0">
            <wp:extent cx="5730240" cy="3375660"/>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F84B1B" w:rsidRDefault="00074DC4" w:rsidP="00074DC4">
      <w:pPr>
        <w:rPr>
          <w:rFonts w:cs="Times New Roman"/>
          <w:szCs w:val="24"/>
        </w:rPr>
      </w:pPr>
      <w:r>
        <w:rPr>
          <w:rFonts w:cs="Times New Roman"/>
          <w:szCs w:val="24"/>
        </w:rPr>
        <w:t xml:space="preserve">Odlišovací schopnost kategorií (intervalů) doby obratu pohledávek u sledovaných skupin podniků je </w:t>
      </w:r>
      <w:r w:rsidRPr="00201A0E">
        <w:rPr>
          <w:rFonts w:cs="Times New Roman"/>
          <w:szCs w:val="24"/>
          <w:u w:val="single"/>
        </w:rPr>
        <w:t>nejednoznačná</w:t>
      </w:r>
      <w:r>
        <w:rPr>
          <w:rFonts w:cs="Times New Roman"/>
          <w:szCs w:val="24"/>
        </w:rPr>
        <w:t xml:space="preserve">. V období jednoho roku před zjištěním úpadku u úpadkových podniků je patrná shodná úroveň mediánu a mírně větší kvartilové rozpětí u úpadkových podniků vlivem nižší úrovně dolního kvartilu (když kvartil horní je na shodné úrovni). </w:t>
      </w:r>
    </w:p>
    <w:p w:rsidR="00F84B1B" w:rsidRDefault="00074DC4" w:rsidP="00074DC4">
      <w:pPr>
        <w:rPr>
          <w:rFonts w:cs="Times New Roman"/>
          <w:szCs w:val="24"/>
        </w:rPr>
      </w:pPr>
      <w:r>
        <w:rPr>
          <w:rFonts w:cs="Times New Roman"/>
          <w:szCs w:val="24"/>
        </w:rPr>
        <w:t xml:space="preserve">V období dvou let před zjištěním úpadku je patrná nižší úroveň mediánu úpadkových podniků a současně celková nižší úroveň krabičky, tedy oblasti výskytu 50 % hodnot kategorií tohoto ukazatele. </w:t>
      </w:r>
    </w:p>
    <w:p w:rsidR="00074DC4" w:rsidRDefault="00074DC4" w:rsidP="00074DC4">
      <w:pPr>
        <w:rPr>
          <w:rFonts w:cs="Times New Roman"/>
          <w:szCs w:val="24"/>
        </w:rPr>
      </w:pPr>
      <w:r>
        <w:rPr>
          <w:rFonts w:cs="Times New Roman"/>
          <w:szCs w:val="24"/>
        </w:rPr>
        <w:t xml:space="preserve">V období tří let před zjištěním úpadku je pak rovněž patrná nižší úroveň mediánu u úpadkových podniků a současně vyšší kvartilové rozpětí dané nižší úrovní dolního kvartilu. Lze konstatovat, že </w:t>
      </w:r>
      <w:r w:rsidRPr="00103675">
        <w:rPr>
          <w:rFonts w:cs="Times New Roman"/>
          <w:b/>
          <w:bCs/>
          <w:szCs w:val="24"/>
        </w:rPr>
        <w:t>diskriminační potenciál doby obratu pohledávek je nejednoznačný</w:t>
      </w:r>
      <w:r>
        <w:rPr>
          <w:rFonts w:cs="Times New Roman"/>
          <w:szCs w:val="24"/>
        </w:rPr>
        <w:t>.</w:t>
      </w:r>
    </w:p>
    <w:p w:rsidR="00F84B1B" w:rsidRDefault="00F84B1B" w:rsidP="00074DC4">
      <w:pPr>
        <w:rPr>
          <w:rFonts w:cs="Times New Roman"/>
          <w:szCs w:val="24"/>
        </w:rPr>
      </w:pPr>
    </w:p>
    <w:p w:rsidR="00F84B1B" w:rsidRDefault="00F84B1B" w:rsidP="00074DC4">
      <w:pPr>
        <w:rPr>
          <w:rFonts w:cs="Times New Roman"/>
          <w:szCs w:val="24"/>
        </w:rPr>
      </w:pPr>
    </w:p>
    <w:p w:rsidR="00F84B1B" w:rsidRDefault="00F84B1B" w:rsidP="00074DC4">
      <w:pPr>
        <w:rPr>
          <w:rFonts w:cs="Times New Roman"/>
          <w:szCs w:val="24"/>
        </w:rPr>
      </w:pPr>
    </w:p>
    <w:p w:rsidR="00F84B1B" w:rsidRDefault="00F84B1B" w:rsidP="00074DC4">
      <w:pPr>
        <w:rPr>
          <w:rFonts w:cs="Times New Roman"/>
          <w:szCs w:val="24"/>
        </w:rPr>
      </w:pPr>
    </w:p>
    <w:p w:rsidR="00F84B1B" w:rsidRDefault="00F84B1B" w:rsidP="00074DC4">
      <w:pPr>
        <w:rPr>
          <w:rFonts w:cs="Times New Roman"/>
          <w:szCs w:val="24"/>
        </w:rPr>
      </w:pPr>
    </w:p>
    <w:p w:rsidR="00F84B1B" w:rsidRDefault="00F84B1B" w:rsidP="00074DC4">
      <w:pPr>
        <w:rPr>
          <w:rFonts w:cs="Times New Roman"/>
          <w:szCs w:val="24"/>
        </w:rPr>
      </w:pPr>
    </w:p>
    <w:p w:rsidR="00F84B1B" w:rsidRDefault="00F84B1B" w:rsidP="00074DC4">
      <w:pPr>
        <w:rPr>
          <w:rFonts w:cs="Times New Roman"/>
          <w:szCs w:val="24"/>
        </w:rPr>
      </w:pPr>
    </w:p>
    <w:p w:rsidR="00F84B1B" w:rsidRDefault="00F84B1B" w:rsidP="00074DC4">
      <w:pPr>
        <w:rPr>
          <w:rFonts w:cs="Times New Roman"/>
          <w:szCs w:val="24"/>
        </w:rPr>
      </w:pPr>
    </w:p>
    <w:p w:rsidR="00F84B1B" w:rsidRDefault="00F84B1B" w:rsidP="00074DC4">
      <w:pPr>
        <w:rPr>
          <w:rFonts w:cs="Times New Roman"/>
          <w:szCs w:val="24"/>
        </w:rPr>
      </w:pPr>
    </w:p>
    <w:p w:rsidR="00074DC4" w:rsidRDefault="00074DC4" w:rsidP="00074DC4">
      <w:pPr>
        <w:pStyle w:val="Bezmezer"/>
      </w:pPr>
    </w:p>
    <w:p w:rsidR="00074DC4" w:rsidRPr="00F44E79" w:rsidRDefault="00074DC4" w:rsidP="00D5026B">
      <w:pPr>
        <w:rPr>
          <w:b/>
        </w:rPr>
      </w:pPr>
      <w:r w:rsidRPr="00F44E79">
        <w:rPr>
          <w:b/>
        </w:rPr>
        <w:t>Interval doby obratu závazků</w:t>
      </w:r>
    </w:p>
    <w:p w:rsidR="00A75BB6" w:rsidRDefault="00A75BB6" w:rsidP="00A75BB6">
      <w:pPr>
        <w:pStyle w:val="Titulek"/>
        <w:keepNext/>
      </w:pPr>
      <w:bookmarkStart w:id="163" w:name="_Toc31054935"/>
      <w:r>
        <w:t xml:space="preserve">Graf </w:t>
      </w:r>
      <w:proofErr w:type="gramStart"/>
      <w:r w:rsidR="00163A91">
        <w:rPr>
          <w:noProof/>
        </w:rPr>
        <w:fldChar w:fldCharType="begin"/>
      </w:r>
      <w:r w:rsidR="00335066">
        <w:rPr>
          <w:noProof/>
        </w:rPr>
        <w:instrText xml:space="preserve"> SEQ Graf \* ARABIC </w:instrText>
      </w:r>
      <w:r w:rsidR="00163A91">
        <w:rPr>
          <w:noProof/>
        </w:rPr>
        <w:fldChar w:fldCharType="separate"/>
      </w:r>
      <w:r w:rsidR="007C1EE6">
        <w:rPr>
          <w:noProof/>
        </w:rPr>
        <w:t>17</w:t>
      </w:r>
      <w:r w:rsidR="00163A91">
        <w:rPr>
          <w:noProof/>
        </w:rPr>
        <w:fldChar w:fldCharType="end"/>
      </w:r>
      <w:r>
        <w:t xml:space="preserve">  </w:t>
      </w:r>
      <w:r w:rsidRPr="001D0126">
        <w:t>Interval</w:t>
      </w:r>
      <w:proofErr w:type="gramEnd"/>
      <w:r w:rsidRPr="001D0126">
        <w:t xml:space="preserve"> doby obratu závazků</w:t>
      </w:r>
      <w:bookmarkEnd w:id="163"/>
    </w:p>
    <w:p w:rsidR="00074DC4" w:rsidRDefault="00074DC4" w:rsidP="00074DC4">
      <w:pPr>
        <w:rPr>
          <w:rFonts w:cs="Times New Roman"/>
          <w:szCs w:val="24"/>
        </w:rPr>
      </w:pPr>
      <w:r>
        <w:rPr>
          <w:rFonts w:cs="Times New Roman"/>
          <w:noProof/>
          <w:szCs w:val="24"/>
          <w:lang w:eastAsia="cs-CZ"/>
        </w:rPr>
        <w:drawing>
          <wp:inline distT="0" distB="0" distL="0" distR="0">
            <wp:extent cx="5730240" cy="337566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3375660"/>
                    </a:xfrm>
                    <a:prstGeom prst="rect">
                      <a:avLst/>
                    </a:prstGeom>
                    <a:noFill/>
                    <a:ln>
                      <a:noFill/>
                    </a:ln>
                  </pic:spPr>
                </pic:pic>
              </a:graphicData>
            </a:graphic>
          </wp:inline>
        </w:drawing>
      </w:r>
    </w:p>
    <w:p w:rsidR="00F84B1B" w:rsidRDefault="00074DC4" w:rsidP="00074DC4">
      <w:r>
        <w:t xml:space="preserve">Na rozdíl od předchozích kategorií (intervalů) ukazatelů doby obratu zásob a pohledávek, je u kategorií (intervalů) doby obratu závazků vidět </w:t>
      </w:r>
      <w:r w:rsidRPr="00201A0E">
        <w:rPr>
          <w:u w:val="single"/>
        </w:rPr>
        <w:t>významné rozdíly mezi oběma skupinami podniků</w:t>
      </w:r>
      <w:r>
        <w:t xml:space="preserve">. Medián se u úpadkových podniků nachází ve všech třech letech na výrazně nižší úrovni než u podniků bezproblémových, patrné je také to, že 50 % hodnot se u úpadkových podniků rovněž nachází na nižší úrovni. </w:t>
      </w:r>
    </w:p>
    <w:p w:rsidR="00074DC4" w:rsidRDefault="00074DC4" w:rsidP="00074DC4">
      <w:r>
        <w:t xml:space="preserve">V jednom roce před zjištěním úpadku pak je patrná situace, kdy (jako v řadě předchozích případů) se horní kvartil u úpadkových podniků nachází na úrovni dolního kvartilu u podniků bezproblémových. Tedy </w:t>
      </w:r>
      <w:r w:rsidRPr="00103675">
        <w:rPr>
          <w:b/>
          <w:bCs/>
        </w:rPr>
        <w:t>u kategorií doby obratu závazků je diskriminační potenciál evidentní</w:t>
      </w:r>
      <w:r>
        <w:t>.</w:t>
      </w:r>
    </w:p>
    <w:p w:rsidR="00074DC4" w:rsidRDefault="00074DC4" w:rsidP="00074DC4"/>
    <w:p w:rsidR="00074DC4" w:rsidRPr="00D64A88" w:rsidRDefault="00074DC4" w:rsidP="006B3B62">
      <w:pPr>
        <w:pStyle w:val="Nadpis3"/>
        <w:numPr>
          <w:ilvl w:val="2"/>
          <w:numId w:val="11"/>
        </w:numPr>
      </w:pPr>
      <w:bookmarkStart w:id="164" w:name="_Toc31054486"/>
      <w:r w:rsidRPr="00D64A88">
        <w:t>Závěr k analýze kategorií</w:t>
      </w:r>
      <w:bookmarkEnd w:id="164"/>
    </w:p>
    <w:p w:rsidR="00F84B1B" w:rsidRDefault="00074DC4" w:rsidP="00074DC4">
      <w:r>
        <w:t xml:space="preserve">Z analýzy kategorií (intervalů) poměrových ukazatelů, resp. ze srovnání těchto kategorií u úpadkových a bezproblémových podniků plyne, že většina poměrových ukazatelů, resp. jejich kategorií, má diskriminační potenciál, tedy je má potenciál odlišovat úpadkové a bezproblémové podniky. </w:t>
      </w:r>
    </w:p>
    <w:p w:rsidR="00074DC4" w:rsidRDefault="00074DC4" w:rsidP="00074DC4">
      <w:r>
        <w:t>Proto je v další části výzkumu počítáno s tím, že kategorie poměrových ukazatelů budou použity jako proměnné vstupující do modelu pro systém včasného varování podnikové krize.</w:t>
      </w:r>
    </w:p>
    <w:p w:rsidR="00F84B1B" w:rsidRDefault="00F84B1B" w:rsidP="00074DC4"/>
    <w:p w:rsidR="00F84B1B" w:rsidRDefault="00F84B1B" w:rsidP="00074DC4"/>
    <w:p w:rsidR="00F44E79" w:rsidRDefault="00F44E79" w:rsidP="00074DC4"/>
    <w:p w:rsidR="00074DC4" w:rsidRDefault="00074DC4" w:rsidP="006B3B62">
      <w:pPr>
        <w:pStyle w:val="Nadpis3"/>
        <w:numPr>
          <w:ilvl w:val="2"/>
          <w:numId w:val="11"/>
        </w:numPr>
      </w:pPr>
      <w:bookmarkStart w:id="165" w:name="_Toc31054487"/>
      <w:r w:rsidRPr="009D11A3">
        <w:lastRenderedPageBreak/>
        <w:t>M</w:t>
      </w:r>
      <w:r w:rsidR="00F44E79">
        <w:t>ezera krytí</w:t>
      </w:r>
      <w:bookmarkEnd w:id="165"/>
    </w:p>
    <w:p w:rsidR="00F44E79" w:rsidRPr="00F44E79" w:rsidRDefault="00F44E79" w:rsidP="00F44E79">
      <w:pPr>
        <w:rPr>
          <w:lang w:eastAsia="cs-CZ"/>
        </w:rPr>
      </w:pPr>
    </w:p>
    <w:p w:rsidR="00074DC4" w:rsidRDefault="00074DC4" w:rsidP="00D5026B">
      <w:pPr>
        <w:rPr>
          <w:b/>
        </w:rPr>
      </w:pPr>
      <w:r w:rsidRPr="00F44E79">
        <w:rPr>
          <w:b/>
        </w:rPr>
        <w:t>Průměr a medián mezery krytí</w:t>
      </w:r>
    </w:p>
    <w:p w:rsidR="00612064" w:rsidRDefault="00612064" w:rsidP="00612064">
      <w:pPr>
        <w:pStyle w:val="Titulek"/>
        <w:keepNext/>
      </w:pPr>
      <w:bookmarkStart w:id="166" w:name="_Toc31054835"/>
      <w:r>
        <w:t xml:space="preserve">Tabulka </w:t>
      </w:r>
      <w:proofErr w:type="gramStart"/>
      <w:r w:rsidR="00163A91">
        <w:rPr>
          <w:noProof/>
        </w:rPr>
        <w:fldChar w:fldCharType="begin"/>
      </w:r>
      <w:r w:rsidR="00335066">
        <w:rPr>
          <w:noProof/>
        </w:rPr>
        <w:instrText xml:space="preserve"> SEQ Tabulka \* ARABIC </w:instrText>
      </w:r>
      <w:r w:rsidR="00163A91">
        <w:rPr>
          <w:noProof/>
        </w:rPr>
        <w:fldChar w:fldCharType="separate"/>
      </w:r>
      <w:r w:rsidR="007C1EE6">
        <w:rPr>
          <w:noProof/>
        </w:rPr>
        <w:t>59</w:t>
      </w:r>
      <w:r w:rsidR="00163A91">
        <w:rPr>
          <w:noProof/>
        </w:rPr>
        <w:fldChar w:fldCharType="end"/>
      </w:r>
      <w:r>
        <w:t xml:space="preserve">  </w:t>
      </w:r>
      <w:r w:rsidRPr="00921801">
        <w:t>Průměr</w:t>
      </w:r>
      <w:proofErr w:type="gramEnd"/>
      <w:r w:rsidRPr="00921801">
        <w:t xml:space="preserve"> a medián mezery krytí</w:t>
      </w:r>
      <w:bookmarkEnd w:id="166"/>
    </w:p>
    <w:tbl>
      <w:tblPr>
        <w:tblW w:w="5000" w:type="pct"/>
        <w:tblCellMar>
          <w:left w:w="70" w:type="dxa"/>
          <w:right w:w="70" w:type="dxa"/>
        </w:tblCellMar>
        <w:tblLook w:val="04A0"/>
      </w:tblPr>
      <w:tblGrid>
        <w:gridCol w:w="3649"/>
        <w:gridCol w:w="1855"/>
        <w:gridCol w:w="1855"/>
        <w:gridCol w:w="1853"/>
      </w:tblGrid>
      <w:tr w:rsidR="00074DC4" w:rsidRPr="00561874" w:rsidTr="00C65BE3">
        <w:trPr>
          <w:trHeight w:val="684"/>
        </w:trPr>
        <w:tc>
          <w:tcPr>
            <w:tcW w:w="1980" w:type="pct"/>
            <w:tcBorders>
              <w:top w:val="single" w:sz="4" w:space="0" w:color="auto"/>
              <w:left w:val="single" w:sz="4" w:space="0" w:color="auto"/>
              <w:bottom w:val="nil"/>
              <w:right w:val="nil"/>
            </w:tcBorders>
            <w:shd w:val="clear" w:color="auto" w:fill="auto"/>
            <w:noWrap/>
            <w:vAlign w:val="bottom"/>
            <w:hideMark/>
          </w:tcPr>
          <w:p w:rsidR="00074DC4" w:rsidRPr="00F84B1B" w:rsidRDefault="00074DC4" w:rsidP="00C65BE3">
            <w:pPr>
              <w:pStyle w:val="slavtabulce"/>
              <w:jc w:val="left"/>
              <w:rPr>
                <w:rFonts w:ascii="Times New Roman" w:hAnsi="Times New Roman" w:cs="Times New Roman"/>
                <w:szCs w:val="18"/>
                <w:lang w:eastAsia="cs-CZ"/>
              </w:rPr>
            </w:pPr>
            <w:r w:rsidRPr="00F84B1B">
              <w:rPr>
                <w:rFonts w:ascii="Times New Roman" w:hAnsi="Times New Roman" w:cs="Times New Roman"/>
                <w:szCs w:val="18"/>
                <w:lang w:eastAsia="cs-CZ"/>
              </w:rPr>
              <w:t> </w:t>
            </w:r>
          </w:p>
        </w:tc>
        <w:tc>
          <w:tcPr>
            <w:tcW w:w="1007" w:type="pct"/>
            <w:tcBorders>
              <w:top w:val="single" w:sz="4" w:space="0" w:color="auto"/>
              <w:left w:val="nil"/>
              <w:bottom w:val="single" w:sz="4" w:space="0" w:color="152935"/>
              <w:right w:val="nil"/>
            </w:tcBorders>
            <w:shd w:val="clear" w:color="auto" w:fill="auto"/>
            <w:vAlign w:val="center"/>
            <w:hideMark/>
          </w:tcPr>
          <w:p w:rsidR="00074DC4" w:rsidRPr="00F84B1B" w:rsidRDefault="00074DC4" w:rsidP="00C65BE3">
            <w:pPr>
              <w:pStyle w:val="slavtabulce"/>
              <w:rPr>
                <w:rFonts w:ascii="Times New Roman" w:hAnsi="Times New Roman" w:cs="Times New Roman"/>
                <w:szCs w:val="18"/>
                <w:lang w:eastAsia="cs-CZ"/>
              </w:rPr>
            </w:pPr>
            <w:r w:rsidRPr="00F84B1B">
              <w:rPr>
                <w:rFonts w:ascii="Times New Roman" w:hAnsi="Times New Roman" w:cs="Times New Roman"/>
                <w:szCs w:val="18"/>
                <w:lang w:eastAsia="cs-CZ"/>
              </w:rPr>
              <w:t>1 rok před úpadkem</w:t>
            </w:r>
          </w:p>
        </w:tc>
        <w:tc>
          <w:tcPr>
            <w:tcW w:w="1007" w:type="pct"/>
            <w:tcBorders>
              <w:top w:val="single" w:sz="4" w:space="0" w:color="auto"/>
              <w:left w:val="nil"/>
              <w:bottom w:val="single" w:sz="4" w:space="0" w:color="152935"/>
              <w:right w:val="nil"/>
            </w:tcBorders>
            <w:shd w:val="clear" w:color="auto" w:fill="auto"/>
            <w:vAlign w:val="center"/>
            <w:hideMark/>
          </w:tcPr>
          <w:p w:rsidR="00074DC4" w:rsidRPr="00F84B1B" w:rsidRDefault="00074DC4" w:rsidP="00C65BE3">
            <w:pPr>
              <w:pStyle w:val="slavtabulce"/>
              <w:rPr>
                <w:rFonts w:ascii="Times New Roman" w:hAnsi="Times New Roman" w:cs="Times New Roman"/>
                <w:szCs w:val="18"/>
                <w:lang w:eastAsia="cs-CZ"/>
              </w:rPr>
            </w:pPr>
            <w:r w:rsidRPr="00F84B1B">
              <w:rPr>
                <w:rFonts w:ascii="Times New Roman" w:hAnsi="Times New Roman" w:cs="Times New Roman"/>
                <w:szCs w:val="18"/>
                <w:lang w:eastAsia="cs-CZ"/>
              </w:rPr>
              <w:t>2 roky před úpadkem</w:t>
            </w:r>
          </w:p>
        </w:tc>
        <w:tc>
          <w:tcPr>
            <w:tcW w:w="1006" w:type="pct"/>
            <w:tcBorders>
              <w:top w:val="single" w:sz="4" w:space="0" w:color="auto"/>
              <w:left w:val="nil"/>
              <w:bottom w:val="single" w:sz="4" w:space="0" w:color="152935"/>
              <w:right w:val="single" w:sz="4" w:space="0" w:color="auto"/>
            </w:tcBorders>
            <w:shd w:val="clear" w:color="auto" w:fill="auto"/>
            <w:vAlign w:val="center"/>
            <w:hideMark/>
          </w:tcPr>
          <w:p w:rsidR="00074DC4" w:rsidRPr="00F84B1B" w:rsidRDefault="00074DC4" w:rsidP="00C65BE3">
            <w:pPr>
              <w:pStyle w:val="slavtabulce"/>
              <w:rPr>
                <w:rFonts w:ascii="Times New Roman" w:hAnsi="Times New Roman" w:cs="Times New Roman"/>
                <w:szCs w:val="18"/>
                <w:lang w:eastAsia="cs-CZ"/>
              </w:rPr>
            </w:pPr>
            <w:r w:rsidRPr="00F84B1B">
              <w:rPr>
                <w:rFonts w:ascii="Times New Roman" w:hAnsi="Times New Roman" w:cs="Times New Roman"/>
                <w:szCs w:val="18"/>
                <w:lang w:eastAsia="cs-CZ"/>
              </w:rPr>
              <w:t>3 roky před úpadkem</w:t>
            </w:r>
          </w:p>
        </w:tc>
      </w:tr>
      <w:tr w:rsidR="00074DC4" w:rsidRPr="00561874" w:rsidTr="00C65BE3">
        <w:trPr>
          <w:trHeight w:val="339"/>
        </w:trPr>
        <w:tc>
          <w:tcPr>
            <w:tcW w:w="1980" w:type="pct"/>
            <w:tcBorders>
              <w:top w:val="single" w:sz="4" w:space="0" w:color="152935"/>
              <w:left w:val="single" w:sz="4" w:space="0" w:color="auto"/>
              <w:bottom w:val="single" w:sz="4" w:space="0" w:color="AEAEAE"/>
              <w:right w:val="nil"/>
            </w:tcBorders>
            <w:shd w:val="clear" w:color="auto" w:fill="auto"/>
            <w:vAlign w:val="center"/>
            <w:hideMark/>
          </w:tcPr>
          <w:p w:rsidR="00074DC4" w:rsidRPr="00F84B1B" w:rsidRDefault="00074DC4" w:rsidP="00C65BE3">
            <w:pPr>
              <w:pStyle w:val="slavtabulce"/>
              <w:jc w:val="left"/>
              <w:rPr>
                <w:rFonts w:ascii="Times New Roman" w:hAnsi="Times New Roman" w:cs="Times New Roman"/>
                <w:szCs w:val="18"/>
                <w:lang w:eastAsia="cs-CZ"/>
              </w:rPr>
            </w:pPr>
            <w:r w:rsidRPr="00F84B1B">
              <w:rPr>
                <w:rFonts w:ascii="Times New Roman" w:hAnsi="Times New Roman" w:cs="Times New Roman"/>
                <w:szCs w:val="18"/>
                <w:lang w:eastAsia="cs-CZ"/>
              </w:rPr>
              <w:t>Mean</w:t>
            </w:r>
          </w:p>
        </w:tc>
        <w:tc>
          <w:tcPr>
            <w:tcW w:w="1007" w:type="pct"/>
            <w:tcBorders>
              <w:top w:val="nil"/>
              <w:left w:val="nil"/>
              <w:bottom w:val="single" w:sz="4" w:space="0" w:color="AEAEAE"/>
              <w:right w:val="single" w:sz="4" w:space="0" w:color="E0E0E0"/>
            </w:tcBorders>
            <w:shd w:val="clear" w:color="auto" w:fill="auto"/>
            <w:noWrap/>
            <w:vAlign w:val="center"/>
            <w:hideMark/>
          </w:tcPr>
          <w:p w:rsidR="00074DC4" w:rsidRPr="00F84B1B" w:rsidRDefault="00074DC4" w:rsidP="00C65BE3">
            <w:pPr>
              <w:pStyle w:val="slavtabulce"/>
              <w:rPr>
                <w:rFonts w:ascii="Times New Roman" w:hAnsi="Times New Roman" w:cs="Times New Roman"/>
                <w:szCs w:val="18"/>
                <w:lang w:eastAsia="cs-CZ"/>
              </w:rPr>
            </w:pPr>
            <w:r w:rsidRPr="00F84B1B">
              <w:rPr>
                <w:rFonts w:ascii="Times New Roman" w:hAnsi="Times New Roman" w:cs="Times New Roman"/>
                <w:szCs w:val="18"/>
                <w:lang w:eastAsia="cs-CZ"/>
              </w:rPr>
              <w:t>0,75</w:t>
            </w:r>
          </w:p>
        </w:tc>
        <w:tc>
          <w:tcPr>
            <w:tcW w:w="1007" w:type="pct"/>
            <w:tcBorders>
              <w:top w:val="nil"/>
              <w:left w:val="nil"/>
              <w:bottom w:val="single" w:sz="4" w:space="0" w:color="AEAEAE"/>
              <w:right w:val="single" w:sz="4" w:space="0" w:color="E0E0E0"/>
            </w:tcBorders>
            <w:shd w:val="clear" w:color="auto" w:fill="auto"/>
            <w:noWrap/>
            <w:vAlign w:val="center"/>
            <w:hideMark/>
          </w:tcPr>
          <w:p w:rsidR="00074DC4" w:rsidRPr="00F84B1B" w:rsidRDefault="00074DC4" w:rsidP="00C65BE3">
            <w:pPr>
              <w:pStyle w:val="slavtabulce"/>
              <w:rPr>
                <w:rFonts w:ascii="Times New Roman" w:hAnsi="Times New Roman" w:cs="Times New Roman"/>
                <w:szCs w:val="18"/>
                <w:lang w:eastAsia="cs-CZ"/>
              </w:rPr>
            </w:pPr>
            <w:r w:rsidRPr="00F84B1B">
              <w:rPr>
                <w:rFonts w:ascii="Times New Roman" w:hAnsi="Times New Roman" w:cs="Times New Roman"/>
                <w:szCs w:val="18"/>
                <w:lang w:eastAsia="cs-CZ"/>
              </w:rPr>
              <w:t>0,66</w:t>
            </w:r>
          </w:p>
        </w:tc>
        <w:tc>
          <w:tcPr>
            <w:tcW w:w="1006" w:type="pct"/>
            <w:tcBorders>
              <w:top w:val="nil"/>
              <w:left w:val="nil"/>
              <w:bottom w:val="single" w:sz="4" w:space="0" w:color="AEAEAE"/>
              <w:right w:val="single" w:sz="4" w:space="0" w:color="auto"/>
            </w:tcBorders>
            <w:shd w:val="clear" w:color="auto" w:fill="auto"/>
            <w:noWrap/>
            <w:vAlign w:val="center"/>
            <w:hideMark/>
          </w:tcPr>
          <w:p w:rsidR="00074DC4" w:rsidRPr="00F84B1B" w:rsidRDefault="00074DC4" w:rsidP="00C65BE3">
            <w:pPr>
              <w:pStyle w:val="slavtabulce"/>
              <w:rPr>
                <w:rFonts w:ascii="Times New Roman" w:hAnsi="Times New Roman" w:cs="Times New Roman"/>
                <w:szCs w:val="18"/>
                <w:lang w:eastAsia="cs-CZ"/>
              </w:rPr>
            </w:pPr>
            <w:r w:rsidRPr="00F84B1B">
              <w:rPr>
                <w:rFonts w:ascii="Times New Roman" w:hAnsi="Times New Roman" w:cs="Times New Roman"/>
                <w:szCs w:val="18"/>
                <w:lang w:eastAsia="cs-CZ"/>
              </w:rPr>
              <w:t>0,57</w:t>
            </w:r>
          </w:p>
        </w:tc>
      </w:tr>
      <w:tr w:rsidR="00074DC4" w:rsidRPr="00561874" w:rsidTr="00C65BE3">
        <w:trPr>
          <w:trHeight w:val="339"/>
        </w:trPr>
        <w:tc>
          <w:tcPr>
            <w:tcW w:w="1980" w:type="pct"/>
            <w:tcBorders>
              <w:top w:val="nil"/>
              <w:left w:val="single" w:sz="4" w:space="0" w:color="auto"/>
              <w:bottom w:val="single" w:sz="4" w:space="0" w:color="AEAEAE"/>
              <w:right w:val="nil"/>
            </w:tcBorders>
            <w:shd w:val="clear" w:color="auto" w:fill="auto"/>
            <w:vAlign w:val="center"/>
            <w:hideMark/>
          </w:tcPr>
          <w:p w:rsidR="00074DC4" w:rsidRPr="00F84B1B" w:rsidRDefault="00074DC4" w:rsidP="00C65BE3">
            <w:pPr>
              <w:pStyle w:val="slavtabulce"/>
              <w:jc w:val="left"/>
              <w:rPr>
                <w:rFonts w:ascii="Times New Roman" w:hAnsi="Times New Roman" w:cs="Times New Roman"/>
                <w:szCs w:val="18"/>
                <w:lang w:eastAsia="cs-CZ"/>
              </w:rPr>
            </w:pPr>
            <w:r w:rsidRPr="00F84B1B">
              <w:rPr>
                <w:rFonts w:ascii="Times New Roman" w:hAnsi="Times New Roman" w:cs="Times New Roman"/>
                <w:szCs w:val="18"/>
                <w:lang w:eastAsia="cs-CZ"/>
              </w:rPr>
              <w:t>5% Trimmed Mean</w:t>
            </w:r>
          </w:p>
        </w:tc>
        <w:tc>
          <w:tcPr>
            <w:tcW w:w="1007" w:type="pct"/>
            <w:tcBorders>
              <w:top w:val="nil"/>
              <w:left w:val="nil"/>
              <w:bottom w:val="single" w:sz="4" w:space="0" w:color="AEAEAE"/>
              <w:right w:val="single" w:sz="4" w:space="0" w:color="E0E0E0"/>
            </w:tcBorders>
            <w:shd w:val="clear" w:color="auto" w:fill="auto"/>
            <w:noWrap/>
            <w:vAlign w:val="center"/>
            <w:hideMark/>
          </w:tcPr>
          <w:p w:rsidR="00074DC4" w:rsidRPr="00F84B1B" w:rsidRDefault="00074DC4" w:rsidP="00C65BE3">
            <w:pPr>
              <w:pStyle w:val="slavtabulce"/>
              <w:rPr>
                <w:rFonts w:ascii="Times New Roman" w:hAnsi="Times New Roman" w:cs="Times New Roman"/>
                <w:szCs w:val="18"/>
                <w:lang w:eastAsia="cs-CZ"/>
              </w:rPr>
            </w:pPr>
            <w:r w:rsidRPr="00F84B1B">
              <w:rPr>
                <w:rFonts w:ascii="Times New Roman" w:hAnsi="Times New Roman" w:cs="Times New Roman"/>
                <w:szCs w:val="18"/>
                <w:lang w:eastAsia="cs-CZ"/>
              </w:rPr>
              <w:t>0,78</w:t>
            </w:r>
          </w:p>
        </w:tc>
        <w:tc>
          <w:tcPr>
            <w:tcW w:w="1007" w:type="pct"/>
            <w:tcBorders>
              <w:top w:val="nil"/>
              <w:left w:val="nil"/>
              <w:bottom w:val="single" w:sz="4" w:space="0" w:color="AEAEAE"/>
              <w:right w:val="single" w:sz="4" w:space="0" w:color="E0E0E0"/>
            </w:tcBorders>
            <w:shd w:val="clear" w:color="auto" w:fill="auto"/>
            <w:noWrap/>
            <w:vAlign w:val="center"/>
            <w:hideMark/>
          </w:tcPr>
          <w:p w:rsidR="00074DC4" w:rsidRPr="00F84B1B" w:rsidRDefault="00074DC4" w:rsidP="00C65BE3">
            <w:pPr>
              <w:pStyle w:val="slavtabulce"/>
              <w:rPr>
                <w:rFonts w:ascii="Times New Roman" w:hAnsi="Times New Roman" w:cs="Times New Roman"/>
                <w:szCs w:val="18"/>
                <w:lang w:eastAsia="cs-CZ"/>
              </w:rPr>
            </w:pPr>
            <w:r w:rsidRPr="00F84B1B">
              <w:rPr>
                <w:rFonts w:ascii="Times New Roman" w:hAnsi="Times New Roman" w:cs="Times New Roman"/>
                <w:szCs w:val="18"/>
                <w:lang w:eastAsia="cs-CZ"/>
              </w:rPr>
              <w:t>0,67</w:t>
            </w:r>
          </w:p>
        </w:tc>
        <w:tc>
          <w:tcPr>
            <w:tcW w:w="1006" w:type="pct"/>
            <w:tcBorders>
              <w:top w:val="nil"/>
              <w:left w:val="nil"/>
              <w:bottom w:val="single" w:sz="4" w:space="0" w:color="AEAEAE"/>
              <w:right w:val="single" w:sz="4" w:space="0" w:color="auto"/>
            </w:tcBorders>
            <w:shd w:val="clear" w:color="auto" w:fill="auto"/>
            <w:noWrap/>
            <w:vAlign w:val="center"/>
            <w:hideMark/>
          </w:tcPr>
          <w:p w:rsidR="00074DC4" w:rsidRPr="00F84B1B" w:rsidRDefault="00074DC4" w:rsidP="00C65BE3">
            <w:pPr>
              <w:pStyle w:val="slavtabulce"/>
              <w:rPr>
                <w:rFonts w:ascii="Times New Roman" w:hAnsi="Times New Roman" w:cs="Times New Roman"/>
                <w:szCs w:val="18"/>
                <w:lang w:eastAsia="cs-CZ"/>
              </w:rPr>
            </w:pPr>
            <w:r w:rsidRPr="00F84B1B">
              <w:rPr>
                <w:rFonts w:ascii="Times New Roman" w:hAnsi="Times New Roman" w:cs="Times New Roman"/>
                <w:szCs w:val="18"/>
                <w:lang w:eastAsia="cs-CZ"/>
              </w:rPr>
              <w:t>0,58</w:t>
            </w:r>
          </w:p>
        </w:tc>
      </w:tr>
      <w:tr w:rsidR="00074DC4" w:rsidRPr="00561874" w:rsidTr="00C65BE3">
        <w:trPr>
          <w:trHeight w:val="339"/>
        </w:trPr>
        <w:tc>
          <w:tcPr>
            <w:tcW w:w="1980" w:type="pct"/>
            <w:tcBorders>
              <w:top w:val="nil"/>
              <w:left w:val="single" w:sz="4" w:space="0" w:color="auto"/>
              <w:bottom w:val="single" w:sz="4" w:space="0" w:color="auto"/>
              <w:right w:val="nil"/>
            </w:tcBorders>
            <w:shd w:val="clear" w:color="auto" w:fill="auto"/>
            <w:vAlign w:val="center"/>
            <w:hideMark/>
          </w:tcPr>
          <w:p w:rsidR="00074DC4" w:rsidRPr="00F84B1B" w:rsidRDefault="00074DC4" w:rsidP="00C65BE3">
            <w:pPr>
              <w:pStyle w:val="slavtabulce"/>
              <w:jc w:val="left"/>
              <w:rPr>
                <w:rFonts w:ascii="Times New Roman" w:hAnsi="Times New Roman" w:cs="Times New Roman"/>
                <w:szCs w:val="18"/>
                <w:lang w:eastAsia="cs-CZ"/>
              </w:rPr>
            </w:pPr>
            <w:r w:rsidRPr="00F84B1B">
              <w:rPr>
                <w:rFonts w:ascii="Times New Roman" w:hAnsi="Times New Roman" w:cs="Times New Roman"/>
                <w:szCs w:val="18"/>
                <w:lang w:eastAsia="cs-CZ"/>
              </w:rPr>
              <w:t>Median</w:t>
            </w:r>
          </w:p>
        </w:tc>
        <w:tc>
          <w:tcPr>
            <w:tcW w:w="1007" w:type="pct"/>
            <w:tcBorders>
              <w:top w:val="nil"/>
              <w:left w:val="nil"/>
              <w:bottom w:val="single" w:sz="4" w:space="0" w:color="auto"/>
              <w:right w:val="single" w:sz="4" w:space="0" w:color="E0E0E0"/>
            </w:tcBorders>
            <w:shd w:val="clear" w:color="auto" w:fill="auto"/>
            <w:noWrap/>
            <w:vAlign w:val="center"/>
            <w:hideMark/>
          </w:tcPr>
          <w:p w:rsidR="00074DC4" w:rsidRPr="00F84B1B" w:rsidRDefault="00074DC4" w:rsidP="00C65BE3">
            <w:pPr>
              <w:pStyle w:val="slavtabulce"/>
              <w:rPr>
                <w:rFonts w:ascii="Times New Roman" w:hAnsi="Times New Roman" w:cs="Times New Roman"/>
                <w:szCs w:val="18"/>
                <w:lang w:eastAsia="cs-CZ"/>
              </w:rPr>
            </w:pPr>
            <w:r w:rsidRPr="00F84B1B">
              <w:rPr>
                <w:rFonts w:ascii="Times New Roman" w:hAnsi="Times New Roman" w:cs="Times New Roman"/>
                <w:szCs w:val="18"/>
                <w:lang w:eastAsia="cs-CZ"/>
              </w:rPr>
              <w:t>0,93</w:t>
            </w:r>
          </w:p>
        </w:tc>
        <w:tc>
          <w:tcPr>
            <w:tcW w:w="1007" w:type="pct"/>
            <w:tcBorders>
              <w:top w:val="nil"/>
              <w:left w:val="nil"/>
              <w:bottom w:val="single" w:sz="4" w:space="0" w:color="auto"/>
              <w:right w:val="single" w:sz="4" w:space="0" w:color="E0E0E0"/>
            </w:tcBorders>
            <w:shd w:val="clear" w:color="auto" w:fill="auto"/>
            <w:noWrap/>
            <w:vAlign w:val="center"/>
            <w:hideMark/>
          </w:tcPr>
          <w:p w:rsidR="00074DC4" w:rsidRPr="00F84B1B" w:rsidRDefault="00074DC4" w:rsidP="00C65BE3">
            <w:pPr>
              <w:pStyle w:val="slavtabulce"/>
              <w:rPr>
                <w:rFonts w:ascii="Times New Roman" w:hAnsi="Times New Roman" w:cs="Times New Roman"/>
                <w:szCs w:val="18"/>
                <w:lang w:eastAsia="cs-CZ"/>
              </w:rPr>
            </w:pPr>
            <w:r w:rsidRPr="00F84B1B">
              <w:rPr>
                <w:rFonts w:ascii="Times New Roman" w:hAnsi="Times New Roman" w:cs="Times New Roman"/>
                <w:szCs w:val="18"/>
                <w:lang w:eastAsia="cs-CZ"/>
              </w:rPr>
              <w:t>0,86</w:t>
            </w:r>
          </w:p>
        </w:tc>
        <w:tc>
          <w:tcPr>
            <w:tcW w:w="1006" w:type="pct"/>
            <w:tcBorders>
              <w:top w:val="nil"/>
              <w:left w:val="nil"/>
              <w:bottom w:val="single" w:sz="4" w:space="0" w:color="auto"/>
              <w:right w:val="single" w:sz="4" w:space="0" w:color="auto"/>
            </w:tcBorders>
            <w:shd w:val="clear" w:color="auto" w:fill="auto"/>
            <w:noWrap/>
            <w:vAlign w:val="center"/>
            <w:hideMark/>
          </w:tcPr>
          <w:p w:rsidR="00074DC4" w:rsidRPr="00F84B1B" w:rsidRDefault="00074DC4" w:rsidP="00C65BE3">
            <w:pPr>
              <w:pStyle w:val="slavtabulce"/>
              <w:rPr>
                <w:rFonts w:ascii="Times New Roman" w:hAnsi="Times New Roman" w:cs="Times New Roman"/>
                <w:szCs w:val="18"/>
                <w:lang w:eastAsia="cs-CZ"/>
              </w:rPr>
            </w:pPr>
            <w:r w:rsidRPr="00F84B1B">
              <w:rPr>
                <w:rFonts w:ascii="Times New Roman" w:hAnsi="Times New Roman" w:cs="Times New Roman"/>
                <w:szCs w:val="18"/>
                <w:lang w:eastAsia="cs-CZ"/>
              </w:rPr>
              <w:t>0,76</w:t>
            </w:r>
          </w:p>
        </w:tc>
      </w:tr>
    </w:tbl>
    <w:p w:rsidR="00074DC4" w:rsidRDefault="00074DC4" w:rsidP="00074DC4">
      <w:pPr>
        <w:rPr>
          <w:szCs w:val="24"/>
        </w:rPr>
      </w:pPr>
    </w:p>
    <w:p w:rsidR="00F84B1B" w:rsidRDefault="00074DC4" w:rsidP="00F44E79">
      <w:r>
        <w:t xml:space="preserve">Z analýzy plyne, že úpadkové podniky vykazovaly ve všech třech letech před zjištěním úpadku v průměru značnou mezeru krytí, výrazně převyšující toleranční hranici jedné desetiny (10 %) splatných závazků. S blížícím se okamžikem zjištění úpadku se pak mezera krytí zvyšuje. </w:t>
      </w:r>
    </w:p>
    <w:p w:rsidR="00074DC4" w:rsidRDefault="00074DC4" w:rsidP="00F44E79">
      <w:r>
        <w:t>To indikuje, že úpadkové podniky měly již tři roky před úpadkem významné problémy s dodržováním splatnosti svých závazků a již tři roky před úpadkem by se neubránily jeho zjištění postupem ustanoveným v § 3, odst. 3) Insolvenčního zákona.</w:t>
      </w:r>
    </w:p>
    <w:p w:rsidR="00F44E79" w:rsidRDefault="00F44E79" w:rsidP="00F44E79"/>
    <w:p w:rsidR="00074DC4" w:rsidRPr="00F44E79" w:rsidRDefault="00074DC4" w:rsidP="006B3B62">
      <w:pPr>
        <w:pStyle w:val="Nadpis3"/>
        <w:numPr>
          <w:ilvl w:val="2"/>
          <w:numId w:val="11"/>
        </w:numPr>
      </w:pPr>
      <w:bookmarkStart w:id="167" w:name="_Toc31054488"/>
      <w:r w:rsidRPr="00F44E79">
        <w:t>Výskyt mezery krytí</w:t>
      </w:r>
      <w:bookmarkEnd w:id="167"/>
    </w:p>
    <w:p w:rsidR="00612064" w:rsidRDefault="00612064" w:rsidP="00612064">
      <w:pPr>
        <w:pStyle w:val="Titulek"/>
        <w:keepNext/>
      </w:pPr>
      <w:bookmarkStart w:id="168" w:name="_Toc31054836"/>
      <w:r>
        <w:t xml:space="preserve">Tabulka </w:t>
      </w:r>
      <w:proofErr w:type="gramStart"/>
      <w:r w:rsidR="00163A91">
        <w:rPr>
          <w:noProof/>
        </w:rPr>
        <w:fldChar w:fldCharType="begin"/>
      </w:r>
      <w:r w:rsidR="00335066">
        <w:rPr>
          <w:noProof/>
        </w:rPr>
        <w:instrText xml:space="preserve"> SEQ Tabulka \* ARABIC </w:instrText>
      </w:r>
      <w:r w:rsidR="00163A91">
        <w:rPr>
          <w:noProof/>
        </w:rPr>
        <w:fldChar w:fldCharType="separate"/>
      </w:r>
      <w:r w:rsidR="007C1EE6">
        <w:rPr>
          <w:noProof/>
        </w:rPr>
        <w:t>60</w:t>
      </w:r>
      <w:r w:rsidR="00163A91">
        <w:rPr>
          <w:noProof/>
        </w:rPr>
        <w:fldChar w:fldCharType="end"/>
      </w:r>
      <w:r>
        <w:t xml:space="preserve">  </w:t>
      </w:r>
      <w:r w:rsidRPr="001D35A1">
        <w:t>Výskyt</w:t>
      </w:r>
      <w:proofErr w:type="gramEnd"/>
      <w:r w:rsidRPr="001D35A1">
        <w:t xml:space="preserve"> mezery krytí</w:t>
      </w:r>
      <w:bookmarkEnd w:id="168"/>
    </w:p>
    <w:tbl>
      <w:tblPr>
        <w:tblW w:w="5000" w:type="pct"/>
        <w:tblCellMar>
          <w:left w:w="70" w:type="dxa"/>
          <w:right w:w="70" w:type="dxa"/>
        </w:tblCellMar>
        <w:tblLook w:val="04A0"/>
      </w:tblPr>
      <w:tblGrid>
        <w:gridCol w:w="3511"/>
        <w:gridCol w:w="3112"/>
        <w:gridCol w:w="2589"/>
      </w:tblGrid>
      <w:tr w:rsidR="00074DC4" w:rsidRPr="00561874" w:rsidTr="00C65BE3">
        <w:trPr>
          <w:trHeight w:val="603"/>
        </w:trPr>
        <w:tc>
          <w:tcPr>
            <w:tcW w:w="1906" w:type="pct"/>
            <w:tcBorders>
              <w:top w:val="single" w:sz="4" w:space="0" w:color="auto"/>
              <w:left w:val="single" w:sz="4" w:space="0" w:color="auto"/>
              <w:bottom w:val="single" w:sz="4" w:space="0" w:color="152935"/>
              <w:right w:val="nil"/>
            </w:tcBorders>
            <w:shd w:val="clear" w:color="auto" w:fill="auto"/>
            <w:vAlign w:val="center"/>
            <w:hideMark/>
          </w:tcPr>
          <w:p w:rsidR="00074DC4" w:rsidRPr="00F84B1B" w:rsidRDefault="00074DC4" w:rsidP="00C65BE3">
            <w:pPr>
              <w:pStyle w:val="slavtabulce"/>
              <w:rPr>
                <w:rFonts w:ascii="Times New Roman" w:hAnsi="Times New Roman" w:cs="Times New Roman"/>
                <w:szCs w:val="18"/>
                <w:lang w:eastAsia="cs-CZ"/>
              </w:rPr>
            </w:pPr>
            <w:r w:rsidRPr="00F84B1B">
              <w:rPr>
                <w:rFonts w:ascii="Times New Roman" w:hAnsi="Times New Roman" w:cs="Times New Roman"/>
                <w:szCs w:val="18"/>
                <w:lang w:eastAsia="cs-CZ"/>
              </w:rPr>
              <w:t> </w:t>
            </w:r>
          </w:p>
        </w:tc>
        <w:tc>
          <w:tcPr>
            <w:tcW w:w="1689" w:type="pct"/>
            <w:tcBorders>
              <w:top w:val="single" w:sz="4" w:space="0" w:color="auto"/>
              <w:left w:val="nil"/>
              <w:bottom w:val="single" w:sz="4" w:space="0" w:color="152935"/>
              <w:right w:val="nil"/>
            </w:tcBorders>
            <w:shd w:val="clear" w:color="auto" w:fill="auto"/>
            <w:vAlign w:val="center"/>
            <w:hideMark/>
          </w:tcPr>
          <w:p w:rsidR="00074DC4" w:rsidRPr="00F84B1B" w:rsidRDefault="00074DC4" w:rsidP="00C65BE3">
            <w:pPr>
              <w:pStyle w:val="slavtabulce"/>
              <w:rPr>
                <w:rFonts w:ascii="Times New Roman" w:hAnsi="Times New Roman" w:cs="Times New Roman"/>
                <w:szCs w:val="18"/>
                <w:lang w:eastAsia="cs-CZ"/>
              </w:rPr>
            </w:pPr>
            <w:r w:rsidRPr="00F84B1B">
              <w:rPr>
                <w:rFonts w:ascii="Times New Roman" w:hAnsi="Times New Roman" w:cs="Times New Roman"/>
                <w:szCs w:val="18"/>
                <w:lang w:eastAsia="cs-CZ"/>
              </w:rPr>
              <w:t xml:space="preserve">Mezera krytí v </w:t>
            </w:r>
            <w:proofErr w:type="gramStart"/>
            <w:r w:rsidRPr="00F84B1B">
              <w:rPr>
                <w:rFonts w:ascii="Times New Roman" w:hAnsi="Times New Roman" w:cs="Times New Roman"/>
                <w:szCs w:val="18"/>
                <w:lang w:eastAsia="cs-CZ"/>
              </w:rPr>
              <w:t>toleranci</w:t>
            </w:r>
            <w:proofErr w:type="gramEnd"/>
            <w:r w:rsidRPr="00F84B1B">
              <w:rPr>
                <w:rFonts w:ascii="Times New Roman" w:hAnsi="Times New Roman" w:cs="Times New Roman"/>
                <w:szCs w:val="18"/>
                <w:lang w:eastAsia="cs-CZ"/>
              </w:rPr>
              <w:t xml:space="preserve"> nebo žádná</w:t>
            </w:r>
          </w:p>
        </w:tc>
        <w:tc>
          <w:tcPr>
            <w:tcW w:w="1405" w:type="pct"/>
            <w:tcBorders>
              <w:top w:val="single" w:sz="4" w:space="0" w:color="auto"/>
              <w:left w:val="single" w:sz="4" w:space="0" w:color="E0E0E0"/>
              <w:bottom w:val="single" w:sz="4" w:space="0" w:color="152935"/>
              <w:right w:val="single" w:sz="4" w:space="0" w:color="auto"/>
            </w:tcBorders>
            <w:shd w:val="clear" w:color="auto" w:fill="auto"/>
            <w:vAlign w:val="center"/>
            <w:hideMark/>
          </w:tcPr>
          <w:p w:rsidR="00074DC4" w:rsidRPr="00F84B1B" w:rsidRDefault="00074DC4" w:rsidP="00C65BE3">
            <w:pPr>
              <w:pStyle w:val="slavtabulce"/>
              <w:rPr>
                <w:rFonts w:ascii="Times New Roman" w:hAnsi="Times New Roman" w:cs="Times New Roman"/>
                <w:szCs w:val="18"/>
                <w:lang w:eastAsia="cs-CZ"/>
              </w:rPr>
            </w:pPr>
            <w:r w:rsidRPr="00F84B1B">
              <w:rPr>
                <w:rFonts w:ascii="Times New Roman" w:hAnsi="Times New Roman" w:cs="Times New Roman"/>
                <w:szCs w:val="18"/>
                <w:lang w:eastAsia="cs-CZ"/>
              </w:rPr>
              <w:t>Mezera krytí vyšší než 10 %</w:t>
            </w:r>
          </w:p>
        </w:tc>
      </w:tr>
      <w:tr w:rsidR="00074DC4" w:rsidRPr="00561874" w:rsidTr="00C65BE3">
        <w:trPr>
          <w:trHeight w:val="339"/>
        </w:trPr>
        <w:tc>
          <w:tcPr>
            <w:tcW w:w="1906" w:type="pct"/>
            <w:tcBorders>
              <w:top w:val="nil"/>
              <w:left w:val="single" w:sz="4" w:space="0" w:color="auto"/>
              <w:bottom w:val="single" w:sz="4" w:space="0" w:color="AEAEAE"/>
              <w:right w:val="nil"/>
            </w:tcBorders>
            <w:shd w:val="clear" w:color="auto" w:fill="auto"/>
            <w:vAlign w:val="center"/>
            <w:hideMark/>
          </w:tcPr>
          <w:p w:rsidR="00074DC4" w:rsidRPr="00F84B1B" w:rsidRDefault="00074DC4" w:rsidP="00C65BE3">
            <w:pPr>
              <w:pStyle w:val="slavtabulce"/>
              <w:jc w:val="left"/>
              <w:rPr>
                <w:rFonts w:ascii="Times New Roman" w:hAnsi="Times New Roman" w:cs="Times New Roman"/>
                <w:szCs w:val="18"/>
                <w:lang w:eastAsia="cs-CZ"/>
              </w:rPr>
            </w:pPr>
            <w:r w:rsidRPr="00F84B1B">
              <w:rPr>
                <w:rFonts w:ascii="Times New Roman" w:hAnsi="Times New Roman" w:cs="Times New Roman"/>
                <w:szCs w:val="18"/>
                <w:lang w:eastAsia="cs-CZ"/>
              </w:rPr>
              <w:t>1 rok před úpadkem</w:t>
            </w:r>
          </w:p>
        </w:tc>
        <w:tc>
          <w:tcPr>
            <w:tcW w:w="1689" w:type="pct"/>
            <w:tcBorders>
              <w:top w:val="nil"/>
              <w:left w:val="nil"/>
              <w:bottom w:val="single" w:sz="4" w:space="0" w:color="AEAEAE"/>
              <w:right w:val="nil"/>
            </w:tcBorders>
            <w:shd w:val="clear" w:color="auto" w:fill="auto"/>
            <w:noWrap/>
            <w:vAlign w:val="center"/>
            <w:hideMark/>
          </w:tcPr>
          <w:p w:rsidR="00074DC4" w:rsidRPr="00F84B1B" w:rsidRDefault="00074DC4" w:rsidP="00C65BE3">
            <w:pPr>
              <w:pStyle w:val="slavtabulce"/>
              <w:rPr>
                <w:rFonts w:ascii="Times New Roman" w:hAnsi="Times New Roman" w:cs="Times New Roman"/>
                <w:szCs w:val="18"/>
                <w:lang w:eastAsia="cs-CZ"/>
              </w:rPr>
            </w:pPr>
            <w:r w:rsidRPr="00F84B1B">
              <w:rPr>
                <w:rFonts w:ascii="Times New Roman" w:hAnsi="Times New Roman" w:cs="Times New Roman"/>
                <w:szCs w:val="18"/>
                <w:lang w:eastAsia="cs-CZ"/>
              </w:rPr>
              <w:t>13,3 %</w:t>
            </w:r>
          </w:p>
        </w:tc>
        <w:tc>
          <w:tcPr>
            <w:tcW w:w="1405"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F84B1B" w:rsidRDefault="00074DC4" w:rsidP="00C65BE3">
            <w:pPr>
              <w:pStyle w:val="slavtabulce"/>
              <w:rPr>
                <w:rFonts w:ascii="Times New Roman" w:hAnsi="Times New Roman" w:cs="Times New Roman"/>
                <w:b/>
                <w:bCs/>
                <w:szCs w:val="18"/>
                <w:lang w:eastAsia="cs-CZ"/>
              </w:rPr>
            </w:pPr>
            <w:r w:rsidRPr="00F84B1B">
              <w:rPr>
                <w:rFonts w:ascii="Times New Roman" w:hAnsi="Times New Roman" w:cs="Times New Roman"/>
                <w:b/>
                <w:bCs/>
                <w:szCs w:val="18"/>
                <w:lang w:eastAsia="cs-CZ"/>
              </w:rPr>
              <w:t>86,7 %</w:t>
            </w:r>
          </w:p>
        </w:tc>
      </w:tr>
      <w:tr w:rsidR="00074DC4" w:rsidRPr="00561874" w:rsidTr="00C65BE3">
        <w:trPr>
          <w:trHeight w:val="339"/>
        </w:trPr>
        <w:tc>
          <w:tcPr>
            <w:tcW w:w="1906" w:type="pct"/>
            <w:tcBorders>
              <w:top w:val="nil"/>
              <w:left w:val="single" w:sz="4" w:space="0" w:color="auto"/>
              <w:bottom w:val="single" w:sz="4" w:space="0" w:color="AEAEAE"/>
              <w:right w:val="nil"/>
            </w:tcBorders>
            <w:shd w:val="clear" w:color="auto" w:fill="auto"/>
            <w:vAlign w:val="center"/>
            <w:hideMark/>
          </w:tcPr>
          <w:p w:rsidR="00074DC4" w:rsidRPr="00F84B1B" w:rsidRDefault="00074DC4" w:rsidP="00C65BE3">
            <w:pPr>
              <w:pStyle w:val="slavtabulce"/>
              <w:jc w:val="left"/>
              <w:rPr>
                <w:rFonts w:ascii="Times New Roman" w:hAnsi="Times New Roman" w:cs="Times New Roman"/>
                <w:szCs w:val="18"/>
                <w:lang w:eastAsia="cs-CZ"/>
              </w:rPr>
            </w:pPr>
            <w:r w:rsidRPr="00F84B1B">
              <w:rPr>
                <w:rFonts w:ascii="Times New Roman" w:hAnsi="Times New Roman" w:cs="Times New Roman"/>
                <w:szCs w:val="18"/>
                <w:lang w:eastAsia="cs-CZ"/>
              </w:rPr>
              <w:t>2 roky před úpadkem</w:t>
            </w:r>
          </w:p>
        </w:tc>
        <w:tc>
          <w:tcPr>
            <w:tcW w:w="1689" w:type="pct"/>
            <w:tcBorders>
              <w:top w:val="nil"/>
              <w:left w:val="nil"/>
              <w:bottom w:val="single" w:sz="4" w:space="0" w:color="AEAEAE"/>
              <w:right w:val="nil"/>
            </w:tcBorders>
            <w:shd w:val="clear" w:color="auto" w:fill="auto"/>
            <w:noWrap/>
            <w:vAlign w:val="center"/>
            <w:hideMark/>
          </w:tcPr>
          <w:p w:rsidR="00074DC4" w:rsidRPr="00F84B1B" w:rsidRDefault="00074DC4" w:rsidP="00C65BE3">
            <w:pPr>
              <w:pStyle w:val="slavtabulce"/>
              <w:rPr>
                <w:rFonts w:ascii="Times New Roman" w:hAnsi="Times New Roman" w:cs="Times New Roman"/>
                <w:szCs w:val="18"/>
                <w:lang w:eastAsia="cs-CZ"/>
              </w:rPr>
            </w:pPr>
            <w:r w:rsidRPr="00F84B1B">
              <w:rPr>
                <w:rFonts w:ascii="Times New Roman" w:hAnsi="Times New Roman" w:cs="Times New Roman"/>
                <w:szCs w:val="18"/>
                <w:lang w:eastAsia="cs-CZ"/>
              </w:rPr>
              <w:t>21,8 %</w:t>
            </w:r>
          </w:p>
        </w:tc>
        <w:tc>
          <w:tcPr>
            <w:tcW w:w="1405" w:type="pct"/>
            <w:tcBorders>
              <w:top w:val="nil"/>
              <w:left w:val="single" w:sz="4" w:space="0" w:color="E0E0E0"/>
              <w:bottom w:val="single" w:sz="4" w:space="0" w:color="AEAEAE"/>
              <w:right w:val="single" w:sz="4" w:space="0" w:color="auto"/>
            </w:tcBorders>
            <w:shd w:val="clear" w:color="auto" w:fill="auto"/>
            <w:noWrap/>
            <w:vAlign w:val="center"/>
            <w:hideMark/>
          </w:tcPr>
          <w:p w:rsidR="00074DC4" w:rsidRPr="00F84B1B" w:rsidRDefault="00074DC4" w:rsidP="00C65BE3">
            <w:pPr>
              <w:pStyle w:val="slavtabulce"/>
              <w:rPr>
                <w:rFonts w:ascii="Times New Roman" w:hAnsi="Times New Roman" w:cs="Times New Roman"/>
                <w:b/>
                <w:bCs/>
                <w:szCs w:val="18"/>
                <w:lang w:eastAsia="cs-CZ"/>
              </w:rPr>
            </w:pPr>
            <w:r w:rsidRPr="00F84B1B">
              <w:rPr>
                <w:rFonts w:ascii="Times New Roman" w:hAnsi="Times New Roman" w:cs="Times New Roman"/>
                <w:b/>
                <w:bCs/>
                <w:szCs w:val="18"/>
                <w:lang w:eastAsia="cs-CZ"/>
              </w:rPr>
              <w:t>78,2 %</w:t>
            </w:r>
          </w:p>
        </w:tc>
      </w:tr>
      <w:tr w:rsidR="00074DC4" w:rsidRPr="00561874" w:rsidTr="00C65BE3">
        <w:trPr>
          <w:trHeight w:val="339"/>
        </w:trPr>
        <w:tc>
          <w:tcPr>
            <w:tcW w:w="1906" w:type="pct"/>
            <w:tcBorders>
              <w:top w:val="nil"/>
              <w:left w:val="single" w:sz="4" w:space="0" w:color="auto"/>
              <w:bottom w:val="single" w:sz="4" w:space="0" w:color="auto"/>
              <w:right w:val="nil"/>
            </w:tcBorders>
            <w:shd w:val="clear" w:color="auto" w:fill="auto"/>
            <w:vAlign w:val="center"/>
            <w:hideMark/>
          </w:tcPr>
          <w:p w:rsidR="00074DC4" w:rsidRPr="00F84B1B" w:rsidRDefault="00074DC4" w:rsidP="00C65BE3">
            <w:pPr>
              <w:pStyle w:val="slavtabulce"/>
              <w:jc w:val="left"/>
              <w:rPr>
                <w:rFonts w:ascii="Times New Roman" w:hAnsi="Times New Roman" w:cs="Times New Roman"/>
                <w:szCs w:val="18"/>
                <w:lang w:eastAsia="cs-CZ"/>
              </w:rPr>
            </w:pPr>
            <w:r w:rsidRPr="00F84B1B">
              <w:rPr>
                <w:rFonts w:ascii="Times New Roman" w:hAnsi="Times New Roman" w:cs="Times New Roman"/>
                <w:szCs w:val="18"/>
                <w:lang w:eastAsia="cs-CZ"/>
              </w:rPr>
              <w:t>3 roky před úpadkem</w:t>
            </w:r>
          </w:p>
        </w:tc>
        <w:tc>
          <w:tcPr>
            <w:tcW w:w="1689" w:type="pct"/>
            <w:tcBorders>
              <w:top w:val="nil"/>
              <w:left w:val="nil"/>
              <w:bottom w:val="single" w:sz="4" w:space="0" w:color="auto"/>
              <w:right w:val="nil"/>
            </w:tcBorders>
            <w:shd w:val="clear" w:color="auto" w:fill="auto"/>
            <w:noWrap/>
            <w:vAlign w:val="center"/>
            <w:hideMark/>
          </w:tcPr>
          <w:p w:rsidR="00074DC4" w:rsidRPr="00F84B1B" w:rsidRDefault="00074DC4" w:rsidP="00C65BE3">
            <w:pPr>
              <w:pStyle w:val="slavtabulce"/>
              <w:rPr>
                <w:rFonts w:ascii="Times New Roman" w:hAnsi="Times New Roman" w:cs="Times New Roman"/>
                <w:szCs w:val="18"/>
                <w:lang w:eastAsia="cs-CZ"/>
              </w:rPr>
            </w:pPr>
            <w:r w:rsidRPr="00F84B1B">
              <w:rPr>
                <w:rFonts w:ascii="Times New Roman" w:hAnsi="Times New Roman" w:cs="Times New Roman"/>
                <w:szCs w:val="18"/>
                <w:lang w:eastAsia="cs-CZ"/>
              </w:rPr>
              <w:t>28,8 %</w:t>
            </w:r>
          </w:p>
        </w:tc>
        <w:tc>
          <w:tcPr>
            <w:tcW w:w="1405" w:type="pct"/>
            <w:tcBorders>
              <w:top w:val="nil"/>
              <w:left w:val="single" w:sz="4" w:space="0" w:color="E0E0E0"/>
              <w:bottom w:val="single" w:sz="4" w:space="0" w:color="auto"/>
              <w:right w:val="single" w:sz="4" w:space="0" w:color="auto"/>
            </w:tcBorders>
            <w:shd w:val="clear" w:color="auto" w:fill="auto"/>
            <w:noWrap/>
            <w:vAlign w:val="center"/>
            <w:hideMark/>
          </w:tcPr>
          <w:p w:rsidR="00074DC4" w:rsidRPr="00F84B1B" w:rsidRDefault="00074DC4" w:rsidP="00C65BE3">
            <w:pPr>
              <w:pStyle w:val="slavtabulce"/>
              <w:rPr>
                <w:rFonts w:ascii="Times New Roman" w:hAnsi="Times New Roman" w:cs="Times New Roman"/>
                <w:b/>
                <w:bCs/>
                <w:szCs w:val="18"/>
                <w:lang w:eastAsia="cs-CZ"/>
              </w:rPr>
            </w:pPr>
            <w:r w:rsidRPr="00F84B1B">
              <w:rPr>
                <w:rFonts w:ascii="Times New Roman" w:hAnsi="Times New Roman" w:cs="Times New Roman"/>
                <w:b/>
                <w:bCs/>
                <w:szCs w:val="18"/>
                <w:lang w:eastAsia="cs-CZ"/>
              </w:rPr>
              <w:t>71,2 %</w:t>
            </w:r>
          </w:p>
        </w:tc>
      </w:tr>
    </w:tbl>
    <w:p w:rsidR="00074DC4" w:rsidRDefault="00074DC4" w:rsidP="00074DC4">
      <w:pPr>
        <w:rPr>
          <w:szCs w:val="24"/>
        </w:rPr>
      </w:pPr>
    </w:p>
    <w:p w:rsidR="00074DC4" w:rsidRDefault="00074DC4" w:rsidP="00074DC4">
      <w:r>
        <w:t xml:space="preserve">Z hlediska samotného výskytu mezery krytí vyšší, než je toleranční hranice, se ukazuje, </w:t>
      </w:r>
      <w:proofErr w:type="gramStart"/>
      <w:r>
        <w:t>že u naprosté většina</w:t>
      </w:r>
      <w:proofErr w:type="gramEnd"/>
      <w:r>
        <w:t xml:space="preserve"> úpadkových podniků existovala mezera krytí již tři roky před zjištěním úpadku. V souvislosti s analýzou jejího průměru a mediánu je evidentní, že mezera krytí je významným indikátorem problémů v platební schopnosti úpadkových podniků.</w:t>
      </w:r>
    </w:p>
    <w:p w:rsidR="00B67E2E" w:rsidRDefault="00B67E2E" w:rsidP="00074DC4"/>
    <w:p w:rsidR="00074DC4" w:rsidRDefault="00074DC4" w:rsidP="006B3B62">
      <w:pPr>
        <w:pStyle w:val="Nadpis3"/>
        <w:numPr>
          <w:ilvl w:val="2"/>
          <w:numId w:val="11"/>
        </w:numPr>
      </w:pPr>
      <w:bookmarkStart w:id="169" w:name="_Toc31054489"/>
      <w:r w:rsidRPr="00D64A88">
        <w:t>Závěr k mezeře krytí</w:t>
      </w:r>
      <w:bookmarkEnd w:id="169"/>
    </w:p>
    <w:p w:rsidR="00074DC4" w:rsidRDefault="00074DC4" w:rsidP="00074DC4">
      <w:r>
        <w:t xml:space="preserve">Celkově se ukazuje, že mezera krytí je vhodným kritériem (byť ji samozřejmě nelze vytrhnout z celkové ekonomické situace podniku), resp. indikátorem úpadkové situace podniku. Naprostá většina úpadkových podniků vykazovala významnou mezeru krytí ve všech sledovaných obdobích. Pokud by manažeři těchto podniků sledovali a vyhodnocovali mezeru </w:t>
      </w:r>
      <w:r>
        <w:lastRenderedPageBreak/>
        <w:t xml:space="preserve">krytí, nutně by museli minimálně tři roky před zjištěním úpadku jimi řízeného podniku dospět k závěru o nutnosti opatření k ozdravení jeho ekonomické situace. </w:t>
      </w:r>
    </w:p>
    <w:p w:rsidR="00074DC4" w:rsidRDefault="00074DC4" w:rsidP="006B3B62">
      <w:pPr>
        <w:pStyle w:val="Nadpis3"/>
        <w:numPr>
          <w:ilvl w:val="2"/>
          <w:numId w:val="11"/>
        </w:numPr>
      </w:pPr>
      <w:bookmarkStart w:id="170" w:name="_Toc31054490"/>
      <w:r>
        <w:t>Shrnutí</w:t>
      </w:r>
      <w:bookmarkEnd w:id="170"/>
    </w:p>
    <w:p w:rsidR="00B67E2E" w:rsidRPr="00B67E2E" w:rsidRDefault="00B67E2E" w:rsidP="00B67E2E">
      <w:pPr>
        <w:rPr>
          <w:lang w:eastAsia="cs-CZ"/>
        </w:rPr>
      </w:pPr>
    </w:p>
    <w:p w:rsidR="00074DC4" w:rsidRDefault="00074DC4" w:rsidP="00074DC4">
      <w:pPr>
        <w:rPr>
          <w:lang w:eastAsia="cs-CZ"/>
        </w:rPr>
      </w:pPr>
      <w:r>
        <w:rPr>
          <w:lang w:eastAsia="cs-CZ"/>
        </w:rPr>
        <w:t xml:space="preserve">Na základě provedené kvantitativní analýzy bylo zjištěno, že existuje řada finančních ukazatelů (vč. mezery krytí), které mají značný diskriminační potenciál ve smyslu odlišení úpadkových a bezproblémových podniků. Z toho plyne, že na základě těchto ukazatelů lze konstruovat systém signálů včasného varování, který bude dávat podniků, resp. podnikatelům indikaci možného negativního vývoje podniku. </w:t>
      </w:r>
    </w:p>
    <w:p w:rsidR="00074DC4" w:rsidRPr="007777D7" w:rsidRDefault="00074DC4" w:rsidP="00074DC4">
      <w:pPr>
        <w:rPr>
          <w:lang w:eastAsia="cs-CZ"/>
        </w:rPr>
      </w:pPr>
      <w:r>
        <w:rPr>
          <w:lang w:eastAsia="cs-CZ"/>
        </w:rPr>
        <w:t xml:space="preserve">Ambicí systému včasného varování by měla být indikace, zda lze podnik s pravděpodobností zařadit mezi podniky, u kterých je důvodné (pravděpodobné) se domnívat, že jejich finanční situace je taková, že je zde riziko směřování k úpadku. Pokud by vytvořeným systémem včasného varování taková indikace byla, pak je to znamená jediní, a sice to, že management a vlastníci by měli přikročit k detailní obchodní a finanční analýze podniku a indikaci pomocí varovných signálů buď </w:t>
      </w:r>
      <w:r w:rsidR="00CD5E97">
        <w:rPr>
          <w:lang w:eastAsia="cs-CZ"/>
        </w:rPr>
        <w:t>vyvrátit, nebo</w:t>
      </w:r>
      <w:r>
        <w:rPr>
          <w:lang w:eastAsia="cs-CZ"/>
        </w:rPr>
        <w:t xml:space="preserve"> potvrdit. V případě, že taková detailní obchodní a finanční analýza směřování podniku k úpadku potvrdí, měli by management a vlastníci zahájit implementaci ozdravných opatření s cílem finanční tíseň překonat a úpadek odvrátit, a to i prostřednictvím preventivní restrukturalizace.</w:t>
      </w:r>
    </w:p>
    <w:p w:rsidR="00074DC4" w:rsidRDefault="00074DC4" w:rsidP="00074DC4">
      <w:pPr>
        <w:pStyle w:val="Nadpis1"/>
      </w:pPr>
    </w:p>
    <w:p w:rsidR="00074DC4" w:rsidRDefault="00074DC4" w:rsidP="006B3B62">
      <w:pPr>
        <w:pStyle w:val="Nadpis3"/>
        <w:numPr>
          <w:ilvl w:val="2"/>
          <w:numId w:val="11"/>
        </w:numPr>
      </w:pPr>
      <w:bookmarkStart w:id="171" w:name="_Toc31054491"/>
      <w:r>
        <w:t>Výsledky diskuse</w:t>
      </w:r>
      <w:bookmarkEnd w:id="171"/>
    </w:p>
    <w:p w:rsidR="00074DC4" w:rsidRDefault="00074DC4" w:rsidP="00074DC4">
      <w:pPr>
        <w:rPr>
          <w:lang w:eastAsia="cs-CZ"/>
        </w:rPr>
      </w:pPr>
    </w:p>
    <w:p w:rsidR="00074DC4" w:rsidRDefault="00074DC4" w:rsidP="00074DC4">
      <w:pPr>
        <w:rPr>
          <w:lang w:eastAsia="cs-CZ"/>
        </w:rPr>
      </w:pPr>
      <w:r>
        <w:rPr>
          <w:lang w:eastAsia="cs-CZ"/>
        </w:rPr>
        <w:t xml:space="preserve">Bylo konstatováno, že proces, který vede ke zjištění úpadku, může být zavádějící – od zveřejnění insolvenčního návrhu v ISIR se situace mění (motivace i psychologie podnikatele). K tomu bylo uvedeno, že preventivní restrukturalizace by měla být nabídkou řešení pro podnikatele tak, aby se úpadku vyhnuli. Dále bylo k motivacím uvedeno, že např. u transakce se severoamerickým prvkem, kde se podniky samy preventivně </w:t>
      </w:r>
      <w:r w:rsidR="0059405B">
        <w:rPr>
          <w:lang w:eastAsia="cs-CZ"/>
        </w:rPr>
        <w:t>restrukturalizují, existuje</w:t>
      </w:r>
      <w:r>
        <w:rPr>
          <w:lang w:eastAsia="cs-CZ"/>
        </w:rPr>
        <w:t xml:space="preserve"> plná odpovědnost dlužníka a jeho managementu (včetně trestněprávní) k převzetí všech potencionálních dluhů, které mohou vzniknout, povinné provádění „solvency testu“ (motivace manažera versus </w:t>
      </w:r>
      <w:proofErr w:type="gramStart"/>
      <w:r>
        <w:rPr>
          <w:lang w:eastAsia="cs-CZ"/>
        </w:rPr>
        <w:t>vlastníka</w:t>
      </w:r>
      <w:proofErr w:type="gramEnd"/>
      <w:r>
        <w:rPr>
          <w:lang w:eastAsia="cs-CZ"/>
        </w:rPr>
        <w:t xml:space="preserve">). K tomu bylo uvedeno, že v našem prostředí, kdy většina podniků je vlastnicky řízena (tedy není řízena profesionálním najatým managementem) je situace v motivacích odlišná, protože vlastníci manažeři mají často odlišné pohledy a motivace oproti </w:t>
      </w:r>
      <w:proofErr w:type="gramStart"/>
      <w:r>
        <w:rPr>
          <w:lang w:eastAsia="cs-CZ"/>
        </w:rPr>
        <w:t>profesionálním</w:t>
      </w:r>
      <w:proofErr w:type="gramEnd"/>
      <w:r>
        <w:rPr>
          <w:lang w:eastAsia="cs-CZ"/>
        </w:rPr>
        <w:t xml:space="preserve"> managementu, který není s vlastníky spjat.</w:t>
      </w:r>
    </w:p>
    <w:p w:rsidR="00074DC4" w:rsidRDefault="00074DC4" w:rsidP="00074DC4">
      <w:pPr>
        <w:rPr>
          <w:lang w:eastAsia="cs-CZ"/>
        </w:rPr>
      </w:pPr>
      <w:r>
        <w:rPr>
          <w:lang w:eastAsia="cs-CZ"/>
        </w:rPr>
        <w:t xml:space="preserve">Dále zazněl názor, že část firem neumí data vyhodnocovat a jejich řízení je spíše intuitivní, část firem to umí, ale bojí se přiznat problém a selhání z důvodu medializace a „střetu“ s financujícími bankami. K tomu bylo konstatováno, že podniky a podnikatelé, kteří nemají „sílu“ přiznat si problémy a řešit je, čeká zřejmě úpadek a insolvenční řízení, a že ambicí preventivní restrukturalizace (vč. systému včasného varování) je dát jim možnost situaci včas řešit, avšak je jen na nich, jestli takovou možnost využijí. V rámci této diskuse zazněl rovněž názor, že v současné době, kdy u rodinných firem dochází ke generační obměně, mají nástupci často pragmatičtější a profesionálnější pohled na věc než zakladatelé firem a jsou schopni vstřícnějšího přístup k řešení problému. Ambicí preventivní restrukturalizace a </w:t>
      </w:r>
      <w:r>
        <w:rPr>
          <w:lang w:eastAsia="cs-CZ"/>
        </w:rPr>
        <w:lastRenderedPageBreak/>
        <w:t>systému včasného varování by mělo být mj. „naučit“ firmy s těmito nástroji pracovat a nebát a přiznat potíže, které lze pomocí preventivní restrukturalizace vyřešit.</w:t>
      </w:r>
    </w:p>
    <w:p w:rsidR="00074DC4" w:rsidRDefault="00074DC4" w:rsidP="00074DC4">
      <w:pPr>
        <w:rPr>
          <w:lang w:eastAsia="cs-CZ"/>
        </w:rPr>
      </w:pPr>
      <w:r>
        <w:rPr>
          <w:lang w:eastAsia="cs-CZ"/>
        </w:rPr>
        <w:t>Dále padla poznámka v tom smyslu, že velké podniky mají značnou „svobodu rozhodování“ oproti podnikatelům, kteří mohou být v situaci, že nemají prostředky ani na transakční náklady (náklady preventivní restrukturalizace). K tomu bylo poznamenáno, že preventivní restrukturalizace s sebou samozřejmě transakční náklady nese, avšak pokud podnikatel není schopen tyto náklady pokrýt, pak nemá smysl, aby do preventivní restrukturalizace vstupoval.</w:t>
      </w:r>
    </w:p>
    <w:p w:rsidR="00074DC4" w:rsidRDefault="00074DC4" w:rsidP="00074DC4">
      <w:pPr>
        <w:rPr>
          <w:lang w:eastAsia="cs-CZ"/>
        </w:rPr>
      </w:pPr>
      <w:r>
        <w:rPr>
          <w:lang w:eastAsia="cs-CZ"/>
        </w:rPr>
        <w:t>Dále byla diskutována otázka cíleného útoku následujícího po podání insolvenčního návrhu u podniku, který by byl jinak schopný situaci ustát. Bylo konstatováno, že preventivní restrukturalizace by neměla být publicitu jako insolvenční řízení a podnik by si v jejím rámci mohl vyřešit své problémy dohodou se svými věřiteli bez negativní publicity a zmíněných cílených útoků.</w:t>
      </w:r>
    </w:p>
    <w:p w:rsidR="00074DC4" w:rsidRDefault="00074DC4" w:rsidP="00074DC4">
      <w:pPr>
        <w:rPr>
          <w:lang w:eastAsia="cs-CZ"/>
        </w:rPr>
      </w:pPr>
      <w:r>
        <w:rPr>
          <w:lang w:eastAsia="cs-CZ"/>
        </w:rPr>
        <w:t xml:space="preserve">V diskusi byla dále vyslovena obava z nežádoucího důsledku preventivní restrukturalizace, kdy kandidát zralý na úpadek a v mnoha případech na konkurz se bude pokoušet o preventivní restrukturalizaci, což bude stát spoustu peněz, rizika, úsilí a sporů. K tomu bylo uvedeno, že preventivní restrukturalizace by měla být určena pro podniky a podnikatele, u kterých ještě nenastal faktický úpadek. </w:t>
      </w:r>
    </w:p>
    <w:p w:rsidR="00074DC4" w:rsidRDefault="00074DC4" w:rsidP="00074DC4">
      <w:pPr>
        <w:rPr>
          <w:lang w:eastAsia="cs-CZ"/>
        </w:rPr>
      </w:pPr>
      <w:r>
        <w:rPr>
          <w:lang w:eastAsia="cs-CZ"/>
        </w:rPr>
        <w:t xml:space="preserve">Ve vztahu k systému včasného varování pak zazněl rovněž názor, že systém včasného varování </w:t>
      </w:r>
      <w:proofErr w:type="gramStart"/>
      <w:r>
        <w:rPr>
          <w:lang w:eastAsia="cs-CZ"/>
        </w:rPr>
        <w:t>byl měl</w:t>
      </w:r>
      <w:proofErr w:type="gramEnd"/>
      <w:r>
        <w:rPr>
          <w:lang w:eastAsia="cs-CZ"/>
        </w:rPr>
        <w:t xml:space="preserve"> podnikatelů dát jednoznačně ukázat, jak na tom jsou, resp. zda je nutné činit nějaké kroky a opatření, např. provést detailní obchodní a finanční analýzu podniku.</w:t>
      </w:r>
    </w:p>
    <w:p w:rsidR="00074DC4" w:rsidRDefault="00074DC4" w:rsidP="00074DC4">
      <w:pPr>
        <w:rPr>
          <w:lang w:eastAsia="cs-CZ"/>
        </w:rPr>
      </w:pPr>
      <w:r>
        <w:rPr>
          <w:lang w:eastAsia="cs-CZ"/>
        </w:rPr>
        <w:t>Dále bylo uvedeno, že proces by měl vyústit ve veřejně přístupnou aplikaci, která porovná zadané údaje se statistikou (ala insolvenční kalkulačka), proces, který zvládne i ekonomicky nezdatný řídící vlastník, což by mělo vést k potvrzení aktuálního stavu, který takový vlastník spíše tuší. K tomu bylo uvedeno, že právě takový výsledek se předpokládá, tedy že bude existovat veřejně dostupná aplikace, která umožní vlastníkům a manažerům zejména malých a středních podniků ověřovat svoji aktuální situaci.</w:t>
      </w:r>
    </w:p>
    <w:p w:rsidR="00074DC4" w:rsidRDefault="00074DC4" w:rsidP="00074DC4">
      <w:pPr>
        <w:rPr>
          <w:lang w:eastAsia="cs-CZ"/>
        </w:rPr>
      </w:pPr>
      <w:r>
        <w:rPr>
          <w:lang w:eastAsia="cs-CZ"/>
        </w:rPr>
        <w:t>Dále byla diskutována možnost, aby aplikaci by mohli využít nejen sami podnikatelé ale i jejich obchodní partneři, kteří by si mohli ověřit výkonnost podniku. Bylo konstatováno, že pokud obchodní partneři či jiné subjekty disponují potřebnými údaji, pak není problém, aby si stav svého obchodního partnera takto ověřili. Je však nicméně nutné reflektovat, že vytvářený systém signálů včasného varování má vydat právě jen signály, a pokud tyto signály budou alarmující, mělo by dojít k hlubší obchodní a finanční analýze podniku a k tomu již obchodní partneři zřejmě potřebnými údaji disponovat nebudou. Dále v této souvislosti diskutována možnost využít případně vytvořený systém včasného varování tak, že by skóre (kreditní skóre) dané tímto systémem mohlo být vytvářeno pro všechny podnikatele. V rámci této diskuse zazněla poznámka o možnosti zneužitelnosti informací společnostmi s nekalými praktikami.</w:t>
      </w:r>
    </w:p>
    <w:p w:rsidR="00071E7F" w:rsidRDefault="00074DC4" w:rsidP="00EF1564">
      <w:pPr>
        <w:rPr>
          <w:b/>
          <w:bCs/>
          <w:lang w:eastAsia="cs-CZ"/>
        </w:rPr>
      </w:pPr>
      <w:r w:rsidRPr="00F32FDD">
        <w:rPr>
          <w:b/>
          <w:bCs/>
          <w:lang w:eastAsia="cs-CZ"/>
        </w:rPr>
        <w:t xml:space="preserve">Z diskuse tedy vyplynulo, že systém signálů včasného varování by mohl podnikatelům pomoci identifikovat jejich situaci, resp. potvrdit (nebo vyvrátit) to, co mnohdy pouze tuší a přimět je k přijetí ozdravných opatření. Současně by mohl jejich kooperačním partnerům umožnit provést si hodnocení jejich obchodního partnera, pokud k tomu mají dostatek informací (a systém má být založen převážně na veřejných informacích). Současně, pokud obchodní partneři informace nemají, mohou si je v rámci obchodních </w:t>
      </w:r>
      <w:r w:rsidRPr="00F32FDD">
        <w:rPr>
          <w:b/>
          <w:bCs/>
          <w:lang w:eastAsia="cs-CZ"/>
        </w:rPr>
        <w:lastRenderedPageBreak/>
        <w:t>jednání (např. v rámci jednání o uzavření smlouvy) vyžádat. Na druhé straně byla otevřena otázka zneužitelnosti systému včasného varování k nekalým praktikám.</w:t>
      </w:r>
    </w:p>
    <w:p w:rsidR="00071E7F" w:rsidRDefault="00071E7F" w:rsidP="00071E7F">
      <w:pPr>
        <w:rPr>
          <w:lang w:eastAsia="cs-CZ"/>
        </w:rPr>
      </w:pPr>
      <w:r>
        <w:rPr>
          <w:lang w:eastAsia="cs-CZ"/>
        </w:rPr>
        <w:br w:type="page"/>
      </w:r>
    </w:p>
    <w:p w:rsidR="00DC39F8" w:rsidRDefault="00B23585" w:rsidP="00071E7F">
      <w:pPr>
        <w:pStyle w:val="Nadpis1"/>
        <w:spacing w:before="120" w:after="240"/>
        <w:ind w:left="397" w:hanging="397"/>
      </w:pPr>
      <w:bookmarkStart w:id="172" w:name="_Toc31054492"/>
      <w:r>
        <w:lastRenderedPageBreak/>
        <w:t>3.</w:t>
      </w:r>
      <w:r w:rsidR="00071E7F">
        <w:tab/>
      </w:r>
      <w:r w:rsidR="00DC39F8" w:rsidRPr="003614DB">
        <w:t>Shrnutí</w:t>
      </w:r>
      <w:r w:rsidR="008E2B2A">
        <w:t xml:space="preserve"> </w:t>
      </w:r>
      <w:r w:rsidR="00DC39F8">
        <w:t>(ekonomické-právní aspekty)</w:t>
      </w:r>
      <w:r w:rsidR="00830448">
        <w:t xml:space="preserve"> a doporučení </w:t>
      </w:r>
      <w:r w:rsidR="003614DB">
        <w:t>(externího aplikačního garanta)</w:t>
      </w:r>
      <w:bookmarkEnd w:id="172"/>
    </w:p>
    <w:p w:rsidR="003614DB" w:rsidRDefault="002703E1" w:rsidP="00B23585">
      <w:pPr>
        <w:spacing w:after="240"/>
      </w:pPr>
      <w:r>
        <w:t>Provedené ekonomicko-statis</w:t>
      </w:r>
      <w:r w:rsidR="00C03EB4">
        <w:t>tické</w:t>
      </w:r>
      <w:r>
        <w:t xml:space="preserve"> analýzy</w:t>
      </w:r>
      <w:r w:rsidR="00B23585">
        <w:t xml:space="preserve"> a následné diskuse v rámci odborných kolokvií</w:t>
      </w:r>
      <w:r>
        <w:t xml:space="preserve"> pou</w:t>
      </w:r>
      <w:r w:rsidR="00C03EB4">
        <w:t>kazují na to, že aby se zvýšila</w:t>
      </w:r>
      <w:r w:rsidR="00830448">
        <w:t xml:space="preserve"> </w:t>
      </w:r>
      <w:r w:rsidR="00C03EB4">
        <w:t>účinnost sanačních postupů</w:t>
      </w:r>
      <w:r w:rsidR="00830448">
        <w:t>,</w:t>
      </w:r>
      <w:r w:rsidR="00C03EB4">
        <w:t xml:space="preserve"> je nutné, aby připravovaný</w:t>
      </w:r>
      <w:r w:rsidR="00B23585">
        <w:t xml:space="preserve"> </w:t>
      </w:r>
      <w:r w:rsidR="0059405B">
        <w:t>legislativní rámec</w:t>
      </w:r>
      <w:r w:rsidR="00C03EB4">
        <w:t xml:space="preserve"> preventivní restrukturalizace akcentoval níže shrnuté principy:</w:t>
      </w:r>
    </w:p>
    <w:p w:rsidR="00830448" w:rsidRPr="00830448" w:rsidRDefault="00830448" w:rsidP="005A5A62">
      <w:pPr>
        <w:pStyle w:val="Nadpis2"/>
        <w:numPr>
          <w:ilvl w:val="1"/>
          <w:numId w:val="13"/>
        </w:numPr>
        <w:spacing w:before="120" w:after="240"/>
        <w:ind w:left="1060" w:hanging="703"/>
      </w:pPr>
      <w:bookmarkStart w:id="173" w:name="_Toc31054493"/>
      <w:r w:rsidRPr="003614DB">
        <w:t>Ponechání</w:t>
      </w:r>
      <w:r w:rsidRPr="00830448">
        <w:t xml:space="preserve"> dispozičních </w:t>
      </w:r>
      <w:proofErr w:type="gramStart"/>
      <w:r w:rsidRPr="00830448">
        <w:t>oprávněních</w:t>
      </w:r>
      <w:proofErr w:type="gramEnd"/>
      <w:r w:rsidRPr="00830448">
        <w:t xml:space="preserve"> a iniciativy na podnikateli</w:t>
      </w:r>
      <w:bookmarkEnd w:id="173"/>
      <w:r w:rsidR="00DC39F8" w:rsidRPr="00830448">
        <w:t xml:space="preserve"> </w:t>
      </w:r>
    </w:p>
    <w:p w:rsidR="00C03EB4" w:rsidRDefault="00830448" w:rsidP="00B23585">
      <w:pPr>
        <w:spacing w:after="240"/>
      </w:pPr>
      <w:r>
        <w:t>Preventivní restrukturalizace</w:t>
      </w:r>
      <w:r w:rsidR="00DC39F8">
        <w:t xml:space="preserve"> by měl</w:t>
      </w:r>
      <w:r>
        <w:t>a</w:t>
      </w:r>
      <w:r w:rsidR="00DC39F8">
        <w:t xml:space="preserve"> být vystavěn</w:t>
      </w:r>
      <w:r>
        <w:t>a</w:t>
      </w:r>
      <w:r w:rsidR="00DC39F8">
        <w:t xml:space="preserve"> na bázi hybridního řízení. Tento typ postupu </w:t>
      </w:r>
      <w:r w:rsidR="00DC39F8" w:rsidRPr="00DC39F8">
        <w:rPr>
          <w:b/>
        </w:rPr>
        <w:t>akcentuje soukromoprávní vyjednávání podnikatele</w:t>
      </w:r>
      <w:r w:rsidR="00DC39F8">
        <w:t xml:space="preserve"> (tj. dlužníka) a jeho věřitelů (tj. dotčených stran), přičemž připouští zásahy ze strany soudu toliko v nutných případech</w:t>
      </w:r>
      <w:r>
        <w:t>.</w:t>
      </w:r>
      <w:r w:rsidR="00DC39F8">
        <w:t xml:space="preserve"> </w:t>
      </w:r>
    </w:p>
    <w:p w:rsidR="00830448" w:rsidRPr="00830448" w:rsidRDefault="00830448" w:rsidP="005A5A62">
      <w:pPr>
        <w:pStyle w:val="Nadpis2"/>
        <w:numPr>
          <w:ilvl w:val="1"/>
          <w:numId w:val="13"/>
        </w:numPr>
        <w:spacing w:before="120" w:after="240"/>
        <w:ind w:left="1060" w:hanging="703"/>
      </w:pPr>
      <w:bookmarkStart w:id="174" w:name="_Toc31054494"/>
      <w:r w:rsidRPr="003614DB">
        <w:t>Udržení</w:t>
      </w:r>
      <w:r w:rsidRPr="00830448">
        <w:t xml:space="preserve"> vysokého konsenzu mezi podnikatelem a jeho věřiteli</w:t>
      </w:r>
      <w:bookmarkEnd w:id="174"/>
    </w:p>
    <w:p w:rsidR="00DC39F8" w:rsidRDefault="00DC39F8" w:rsidP="00B23585">
      <w:pPr>
        <w:spacing w:after="240"/>
      </w:pPr>
      <w:r w:rsidRPr="00830448">
        <w:t>Pro restrukturalizace b</w:t>
      </w:r>
      <w:r w:rsidR="00830448">
        <w:t>y měl být</w:t>
      </w:r>
      <w:r w:rsidRPr="00830448">
        <w:t xml:space="preserve"> charakteristický konsenzuální přístup vyžadující vysokou míru shody, a to na rozdíl od insolvenčního řízení, které je procesem konfliktním. V úvodních fázích zasáhne soud v principu pouze tehdy, požádá-li podnikatel o ochranu před nespolupracujícími věřiteli (tj. přiznáním beneficia přerušení vymáhání individuálních nároků; „moratoria“</w:t>
      </w:r>
      <w:r w:rsidRPr="00830448">
        <w:rPr>
          <w:rStyle w:val="Znakapoznpodarou"/>
          <w:i/>
        </w:rPr>
        <w:footnoteReference w:id="2"/>
      </w:r>
      <w:r w:rsidRPr="00830448">
        <w:t>). Jinak se kauza dostává před soud až v okamžiku předložení přijatého či nepřijatého restrukturalizačního plánu k jeho potvrzení, eventuálně předtím při přezkumu hlasovacích práv a tvorby skupin věřitelů</w:t>
      </w:r>
      <w:r>
        <w:t>.</w:t>
      </w:r>
    </w:p>
    <w:p w:rsidR="00830448" w:rsidRPr="00830448" w:rsidRDefault="00830448" w:rsidP="005A5A62">
      <w:pPr>
        <w:pStyle w:val="Nadpis2"/>
        <w:numPr>
          <w:ilvl w:val="1"/>
          <w:numId w:val="13"/>
        </w:numPr>
        <w:spacing w:before="120" w:after="240"/>
        <w:ind w:left="1060" w:hanging="703"/>
      </w:pPr>
      <w:bookmarkStart w:id="175" w:name="_Toc31054495"/>
      <w:r w:rsidRPr="00830448">
        <w:t>Existe</w:t>
      </w:r>
      <w:r w:rsidR="00B23585">
        <w:t>nce životaschopného podnikatele, včasnost zahájení procesu restrukturalizace</w:t>
      </w:r>
      <w:bookmarkEnd w:id="175"/>
    </w:p>
    <w:p w:rsidR="00C03EB4" w:rsidRPr="00830448" w:rsidRDefault="00DC39F8" w:rsidP="00B23585">
      <w:pPr>
        <w:spacing w:after="240"/>
      </w:pPr>
      <w:r w:rsidRPr="00830448">
        <w:t>Základním předpokladem úspěšnosti restrukturalizace bude existence životaschopnosti podnikatele (tj. schopnosti udržet provoz závodu v režimu going-concern</w:t>
      </w:r>
      <w:r w:rsidR="003614DB">
        <w:t xml:space="preserve">, tzn. včasné zahájení restrukturalizačního procesu </w:t>
      </w:r>
      <w:r w:rsidR="00B23585">
        <w:t>a informace o tom, že se podnikatel</w:t>
      </w:r>
      <w:r w:rsidR="003614DB">
        <w:t xml:space="preserve"> může dostat nebo již je ve finančních potížích.</w:t>
      </w:r>
    </w:p>
    <w:p w:rsidR="00830448" w:rsidRPr="00830448" w:rsidRDefault="00830448" w:rsidP="005A5A62">
      <w:pPr>
        <w:pStyle w:val="Nadpis2"/>
        <w:numPr>
          <w:ilvl w:val="1"/>
          <w:numId w:val="13"/>
        </w:numPr>
        <w:spacing w:before="120" w:after="240"/>
        <w:ind w:left="1060" w:hanging="703"/>
      </w:pPr>
      <w:bookmarkStart w:id="176" w:name="_Toc31054496"/>
      <w:r w:rsidRPr="00830448">
        <w:t xml:space="preserve">Jednoduchost procesu </w:t>
      </w:r>
      <w:r w:rsidR="00B23585">
        <w:t>preventivní restrukturalizace</w:t>
      </w:r>
      <w:bookmarkEnd w:id="176"/>
    </w:p>
    <w:p w:rsidR="00DC39F8" w:rsidRPr="00830448" w:rsidRDefault="00DC39F8" w:rsidP="00B23585">
      <w:pPr>
        <w:spacing w:after="240"/>
      </w:pPr>
      <w:r w:rsidRPr="00830448">
        <w:t>Oproti insolvenčnímu řízení by se měla restrukturalizace vyznačovat výraznou procesní lehkostí, zejména proto, že valná část řešení probíhá mimo formální soudní řízení. Procesní lehkost se projevuje zejména v úvodních fázích tím, že nevyžaduje formální zahájení procesu u soudu, nýbrž postačí faktické vymezení okruhu dotčených stran dlužníkem a zahájení negociace s nimi.</w:t>
      </w:r>
    </w:p>
    <w:p w:rsidR="00C03EB4" w:rsidRDefault="00C03EB4" w:rsidP="005A5A62">
      <w:pPr>
        <w:pStyle w:val="Nadpis2"/>
        <w:numPr>
          <w:ilvl w:val="1"/>
          <w:numId w:val="13"/>
        </w:numPr>
        <w:spacing w:before="120" w:after="240"/>
        <w:ind w:left="1060" w:hanging="703"/>
      </w:pPr>
      <w:bookmarkStart w:id="177" w:name="_Toc31054497"/>
      <w:r>
        <w:t>Odstranění daňové diskriminace</w:t>
      </w:r>
      <w:bookmarkEnd w:id="177"/>
    </w:p>
    <w:p w:rsidR="00DC39F8" w:rsidRPr="00C03EB4" w:rsidRDefault="00DC39F8" w:rsidP="00B23585">
      <w:pPr>
        <w:spacing w:after="240"/>
      </w:pPr>
      <w:r w:rsidRPr="00C03EB4">
        <w:t xml:space="preserve">Předpoklad úspěšné restrukturalizace vyžaduje uspokojivé řešení daňových aspektů. Kritická je zejména daňová úprava v případě prominutí dluhu (tzv. haircut), která zakládá daňovou povinnost dlužníka odvést z příslušné částky daň z příjmu, což souvisí s národními účetními standardy, dle kterých se prominutí dluhu považuje za příjem. Existující </w:t>
      </w:r>
      <w:r w:rsidRPr="00C03EB4">
        <w:rPr>
          <w:rFonts w:eastAsia="Arial Unicode MS"/>
          <w:kern w:val="1"/>
          <w:szCs w:val="24"/>
          <w:lang w:eastAsia="hi-IN" w:bidi="hi-IN"/>
        </w:rPr>
        <w:t xml:space="preserve">§ 4a písm. h) zákona o daních z příjmů ovšem řeší osvobození prominutých dluhů od daňové povinnosti pouze </w:t>
      </w:r>
      <w:r w:rsidRPr="00C03EB4">
        <w:rPr>
          <w:rFonts w:eastAsia="Arial Unicode MS"/>
          <w:kern w:val="1"/>
          <w:szCs w:val="24"/>
          <w:lang w:eastAsia="hi-IN" w:bidi="hi-IN"/>
        </w:rPr>
        <w:lastRenderedPageBreak/>
        <w:t xml:space="preserve">v případě insolvenčního řízení. Cílem je dosáhnout odstranění daňové diskriminace preventivní restrukturalizace a sjednotit daňový režim pro insolvenční i restrukturalizační sanační procesy. V opačném případě se dostane restrukturalizace do citelné regulatorní nevýhody ze strany dlužníka i věřitelů vůči </w:t>
      </w:r>
      <w:r w:rsidRPr="00C03EB4">
        <w:t xml:space="preserve">reorganizaci, neboť bude předem zatížena zásadním daňovým znevýhodněním. </w:t>
      </w:r>
    </w:p>
    <w:p w:rsidR="00DC39F8" w:rsidRPr="00DC39F8" w:rsidRDefault="00C03EB4" w:rsidP="005A5A62">
      <w:pPr>
        <w:pStyle w:val="Nadpis2"/>
        <w:numPr>
          <w:ilvl w:val="1"/>
          <w:numId w:val="13"/>
        </w:numPr>
        <w:spacing w:before="120" w:after="240"/>
        <w:ind w:left="1060" w:hanging="703"/>
      </w:pPr>
      <w:bookmarkStart w:id="178" w:name="_Toc31054498"/>
      <w:r>
        <w:t>Vyšší dostupnost externího</w:t>
      </w:r>
      <w:r w:rsidR="00DC39F8" w:rsidRPr="00DC39F8">
        <w:t xml:space="preserve"> financování</w:t>
      </w:r>
      <w:bookmarkEnd w:id="178"/>
    </w:p>
    <w:p w:rsidR="00DC39F8" w:rsidRPr="00DC39F8" w:rsidRDefault="00DC39F8" w:rsidP="00DC39F8">
      <w:pPr>
        <w:rPr>
          <w:rFonts w:eastAsia="Times New Roman"/>
          <w:szCs w:val="24"/>
          <w:lang w:eastAsia="cs-CZ"/>
        </w:rPr>
      </w:pPr>
      <w:r w:rsidRPr="00DC39F8">
        <w:rPr>
          <w:rFonts w:eastAsia="Times New Roman"/>
          <w:color w:val="000000"/>
          <w:szCs w:val="24"/>
          <w:lang w:eastAsia="cs-CZ"/>
        </w:rPr>
        <w:t>Restrukturalizace by měla řešit adekvátním způsobem podporu externího financování závodu v krizi s cílem zajistit další provoz závodu a překlenout období, ve kterém probíhají jednání o uskutečnitelnosti restrukturalizace včetně její vlastní implementace. Jde především o zajištění a udržení externího (zpravidla bankovního) provozního financování revolvingového typu (</w:t>
      </w:r>
      <w:r w:rsidRPr="00DC39F8">
        <w:rPr>
          <w:rFonts w:eastAsia="Times New Roman"/>
          <w:b/>
          <w:bCs/>
          <w:color w:val="000000"/>
          <w:szCs w:val="24"/>
          <w:lang w:eastAsia="cs-CZ"/>
        </w:rPr>
        <w:t>financování pracovního kapitálu</w:t>
      </w:r>
      <w:r w:rsidRPr="00DC39F8">
        <w:rPr>
          <w:rFonts w:eastAsia="Times New Roman"/>
          <w:color w:val="000000"/>
          <w:szCs w:val="24"/>
          <w:lang w:eastAsia="cs-CZ"/>
        </w:rPr>
        <w:t>). Poskytovatelé stávajícího financování by měli být motivování k udržení financování restrukturalizovaného závodu z pohledu zajištění tak, aby se nezhoršila jejich věřitelská pozice (například možnost stále účinně zastavovat pohledávky z obchodního styku či jinou složku pracovního kapitálu, které probíhá zpravidla na měsíční bázi).</w:t>
      </w:r>
    </w:p>
    <w:p w:rsidR="00DC39F8" w:rsidRPr="00DC39F8" w:rsidRDefault="00DC39F8" w:rsidP="00DC39F8">
      <w:pPr>
        <w:rPr>
          <w:rFonts w:eastAsia="Times New Roman"/>
          <w:szCs w:val="24"/>
          <w:lang w:eastAsia="cs-CZ"/>
        </w:rPr>
      </w:pPr>
      <w:r w:rsidRPr="00DC39F8">
        <w:rPr>
          <w:rFonts w:eastAsia="Times New Roman"/>
          <w:color w:val="000000"/>
          <w:szCs w:val="24"/>
          <w:lang w:eastAsia="cs-CZ"/>
        </w:rPr>
        <w:t>V případě potřeby dodatečného externího financování, by úprava měla umožnit poskytnutí takovéhoto typu financování včetně zřízení adekvátního nového zajištění. Adekvátnost zajištění z pohledu jeho  férové hodnoty vzhledem k potřebné výši dodatečného financování by mohla být posouzena provozním odborníkem v rámci projektu restrukturalizace. Bez vyřešení této otázky bude velmi problematické udržet provoz závodu. Jedná se o  konstrukt podobný úvěrovému financování dle InsZ.</w:t>
      </w:r>
    </w:p>
    <w:p w:rsidR="00DC39F8" w:rsidRPr="00DC39F8" w:rsidRDefault="00DC39F8" w:rsidP="00DC39F8">
      <w:pPr>
        <w:rPr>
          <w:rFonts w:eastAsia="Times New Roman"/>
          <w:color w:val="000000"/>
          <w:szCs w:val="24"/>
          <w:lang w:eastAsia="cs-CZ"/>
        </w:rPr>
      </w:pPr>
      <w:r w:rsidRPr="00DC39F8">
        <w:rPr>
          <w:rFonts w:eastAsia="Times New Roman"/>
          <w:color w:val="000000"/>
          <w:szCs w:val="24"/>
          <w:lang w:eastAsia="cs-CZ"/>
        </w:rPr>
        <w:t>Pokud by tato věc nebyla řešena, hrozí, že stávající poskytovatelé externího kapitálu přestanou financovat provoz závodu v nejméně vhodnou dobu a začnou stahovat hotovost ze závodu, resp.  realizovat zástavní právo k jednotlivým složkám pracovního kapitálu (zejména pohledávky, zásoby, hotovost). Pracovní skupina vychází z negativní zkušenosti týkající se chování bank v době nástupu globální finanční krize. Tím dojde k přerušení schopnosti závodu financovat výrobu a na místo sanace může dojít k urychlení hrozby úpadku a prohloubení krize s fatálními důsledky.</w:t>
      </w:r>
    </w:p>
    <w:p w:rsidR="00C03EB4" w:rsidRDefault="00C03EB4" w:rsidP="005A5A62">
      <w:pPr>
        <w:pStyle w:val="Nadpis2"/>
        <w:numPr>
          <w:ilvl w:val="1"/>
          <w:numId w:val="13"/>
        </w:numPr>
        <w:spacing w:before="120" w:after="240"/>
        <w:ind w:left="1060" w:hanging="703"/>
      </w:pPr>
      <w:bookmarkStart w:id="179" w:name="_Toc31054499"/>
      <w:r>
        <w:t>Minimalizace negativního stigmatizace podnikatele v potížích</w:t>
      </w:r>
      <w:bookmarkEnd w:id="179"/>
    </w:p>
    <w:p w:rsidR="00DC39F8" w:rsidRPr="00DC39F8" w:rsidRDefault="00DC39F8" w:rsidP="00C03EB4">
      <w:pPr>
        <w:rPr>
          <w:lang w:eastAsia="hi-IN" w:bidi="hi-IN"/>
        </w:rPr>
      </w:pPr>
      <w:r>
        <w:t xml:space="preserve">Legislativním nosičem </w:t>
      </w:r>
      <w:r w:rsidRPr="00DC39F8">
        <w:rPr>
          <w:lang w:eastAsia="hi-IN" w:bidi="hi-IN"/>
        </w:rPr>
        <w:t xml:space="preserve">transpozice </w:t>
      </w:r>
      <w:r w:rsidR="00C03EB4">
        <w:rPr>
          <w:lang w:eastAsia="hi-IN" w:bidi="hi-IN"/>
        </w:rPr>
        <w:t>by měl být</w:t>
      </w:r>
      <w:r w:rsidRPr="00DC39F8">
        <w:rPr>
          <w:lang w:eastAsia="hi-IN" w:bidi="hi-IN"/>
        </w:rPr>
        <w:t xml:space="preserve"> </w:t>
      </w:r>
      <w:r w:rsidRPr="00C03EB4">
        <w:rPr>
          <w:lang w:eastAsia="hi-IN" w:bidi="hi-IN"/>
        </w:rPr>
        <w:t>zcela nový právní předpis kombinující hmotněprávní i procesněprávní normy (např. zá</w:t>
      </w:r>
      <w:r w:rsidRPr="00DC39F8">
        <w:rPr>
          <w:lang w:eastAsia="hi-IN" w:bidi="hi-IN"/>
        </w:rPr>
        <w:t xml:space="preserve">kon o preventivní restrukturalizaci). Méně pravděpodobné je rozšíření insolvenčního zákona, případně i zákona o obchodních korporacích či zákona o přeměnách. Důležitým ideologickým předpokladem preventivního řešení je vyhnout se stigmatizaci podnikatele nálepkou insolvence spojené s insolvenčním zákonem a negativní publicitou insolvenčního rejstříku. </w:t>
      </w:r>
    </w:p>
    <w:p w:rsidR="008E2B2A" w:rsidRPr="008E2B2A" w:rsidRDefault="008E2B2A" w:rsidP="008E2B2A">
      <w:pPr>
        <w:rPr>
          <w:lang w:eastAsia="cs-CZ"/>
        </w:rPr>
      </w:pPr>
    </w:p>
    <w:p w:rsidR="008E2B2A" w:rsidRDefault="00843358" w:rsidP="005A5A62">
      <w:pPr>
        <w:pStyle w:val="Nadpis1"/>
        <w:numPr>
          <w:ilvl w:val="0"/>
          <w:numId w:val="13"/>
        </w:numPr>
        <w:spacing w:before="120" w:after="240"/>
        <w:ind w:left="357" w:hanging="357"/>
      </w:pPr>
      <w:r>
        <w:t xml:space="preserve"> </w:t>
      </w:r>
      <w:bookmarkStart w:id="180" w:name="_Toc31054500"/>
      <w:r>
        <w:t>Závěr</w:t>
      </w:r>
      <w:r w:rsidR="00830448">
        <w:t xml:space="preserve"> provedeným ekonomicko-statistickým analýzám</w:t>
      </w:r>
      <w:bookmarkEnd w:id="180"/>
    </w:p>
    <w:p w:rsidR="00E946F2" w:rsidRPr="00E946F2" w:rsidRDefault="00E946F2" w:rsidP="00E946F2">
      <w:r w:rsidRPr="00E946F2">
        <w:t xml:space="preserve">Institut moratoria byl do insolvenčního zákona vložen primárně jako mechanismus zabránění úpadku dlužníka a to jeho vyhlášením před zahájením insolvenčního řízení nebo jako reakce na podání insolvenčního návrhu. V obou případech je dlužníkovi poskytnuta ochrana před </w:t>
      </w:r>
      <w:r w:rsidRPr="00E946F2">
        <w:lastRenderedPageBreak/>
        <w:t>věřiteli a vynutitelnost dodávek (při splnění platebních podmínek). Analýzy skutečného využívání moratorií však jednoznačně ukazují, že daný cíl není v naprosté většině případů plněn. Podobně lze říci, že i v obecné rovině je moratorium používáno velmi okrajově a bylo by možné formulovat tezi, že spíše slouží jako oddálení plného dopadu zahájení insolvenčního řízení (tedy jako oddálení důsledků prohlášení úpadku dlužníka) než jako restrukturalizační nástroj</w:t>
      </w:r>
      <w:r>
        <w:t xml:space="preserve"> (blíže viz příspěvek Schönfeld, J. ve sborníku z konference Insolvence 2019, který je </w:t>
      </w:r>
      <w:proofErr w:type="gramStart"/>
      <w:r>
        <w:t>výstupem  projektu</w:t>
      </w:r>
      <w:proofErr w:type="gramEnd"/>
      <w:r>
        <w:t>)</w:t>
      </w:r>
      <w:r w:rsidRPr="00E946F2">
        <w:t>.</w:t>
      </w:r>
    </w:p>
    <w:p w:rsidR="00E946F2" w:rsidRPr="00E946F2" w:rsidRDefault="00E946F2" w:rsidP="00E946F2">
      <w:r w:rsidRPr="00E946F2">
        <w:t>Podobně i předbalené reorganizace mají sloužit pro případy, kdy dlužník s podporou klíčových věřitelů projeví snahu řešit situaci svého podniku sanačním způsobem a dokáže získat dostatečnou důvěryhodnost pro provedení této metody řešení úpadku. I zde se však projevuje, že dlužníci vstupují do procesu pozdě a to v době, kdy již nemá dostatečnou efektivitu. Z tohoto pohledu je až překvapivé, že jakkoliv můžeme počet předbalených reorganizací ve srovnání s počtem konkurzů považovat za marginální, lze zároveň říci, že věřitelé projevují až překvapivou důvěru v dlužníky a umožňují jim zahájit restrukturalizaci i v případech, kde jde zjevně z hlediska ekonomických výsledků podniků o nereálný postup.</w:t>
      </w:r>
    </w:p>
    <w:p w:rsidR="00E946F2" w:rsidRPr="00E946F2" w:rsidRDefault="00E946F2" w:rsidP="00E946F2">
      <w:r w:rsidRPr="00E946F2">
        <w:t>Celkově pak lze na základě zde shrnutých výzkumů konstatovat, že základním rysem insolvenční situace v České republice je oddalování vstupu do insolvenčního řízení až do okamžiku, kdy dosahované finanční výsledky a základní ekonomická data podniku neumožňují (až na výjimky) efektivní sanační postupy, neboť podnik již není schopen tvořit provozní zisk, je v dlouhodobé platební neschopnosti a obvykle dosahuje také stavu záporného vlastního kapitálu.</w:t>
      </w:r>
    </w:p>
    <w:p w:rsidR="00AF3074" w:rsidRDefault="00AF3074" w:rsidP="008E2B2A">
      <w:r>
        <w:t xml:space="preserve">Uvedené analýzy byly provedeny za účelem konstrukce systému včasného varování podnikové krize pro podnikatele. V současné době existuje sice řada bankrotních modelů, včetně rodiny indexů IN sestavených na základě analýzy českých podniků, avšak tyto modely kladou na podnikatele určité nároky ve vztahu ke znalosti podnikových financí a vztahů mezi jednotlivými poměrovými ukazateli. Současně také většinou obsahují tzv. šedou zónu, která může pro podnikatele představovat značnou neurčitost a tendenci podceňovat stav, kdy se podnik nachází v šedé zóně, a to tak, že tento stav není nijak alarmující a není tedy třeba situaci řešit. Záměrem je vytvořit systém včasného varování založený na zařazení podniku do jedné z kategorií, tedy buď mezi podniky úpadkové, resp. podniky, u kterých je převažující riziko směřování k úpadku, nebo mez podniky bezproblémové, resp. podniky, u kterých není významná pravděpodobnost směřování k úpadku. Takový systém včasného varování pak </w:t>
      </w:r>
      <w:proofErr w:type="gramStart"/>
      <w:r>
        <w:t>může</w:t>
      </w:r>
      <w:proofErr w:type="gramEnd"/>
      <w:r>
        <w:t xml:space="preserve"> podnikatelům </w:t>
      </w:r>
      <w:proofErr w:type="gramStart"/>
      <w:r>
        <w:t>poskytnou</w:t>
      </w:r>
      <w:proofErr w:type="gramEnd"/>
      <w:r>
        <w:t xml:space="preserve"> jednoznačnou informaci, která je založena na tom, do které ze dvou uvedených skupiny systém včasného varování podnik zařadí. Odpadne tak nutnost, aby podnikatelé museli se znalosti podnikových financí a finanční analýzy vyhodnocovat (subjektivně) soustavy poměrových ukazatelů a případné výsledky bankrotních modelů vč. zmíněné šedé zóny.</w:t>
      </w:r>
    </w:p>
    <w:p w:rsidR="00AF3074" w:rsidRDefault="00AF3074" w:rsidP="00AF3074">
      <w:r>
        <w:t>Analýza úpadkových podniků, resp. jejich finančních charakteristik směřuje zejména k poznání, v jaké finanční situaci byl u těchto podniků zjištěn úpadek, resp. v jaké situaci se nacházely jeden, dva a tři roky před jeho zjištěním. To umožňuje usuzovat na reflexi stavu podniku jeho managementem a vlastníky. Jak je výše uvedeno, bylo zjištěno, že úpadkové podniky vykazovaly neuspokojivé až kritické finanční charakteristiky již tři roky před úpadkem a tyto podniky v podstatě až do zjištění úpadku spíše přežívaly.</w:t>
      </w:r>
    </w:p>
    <w:p w:rsidR="00DD509A" w:rsidRDefault="00AF3074" w:rsidP="00AF3074">
      <w:r>
        <w:lastRenderedPageBreak/>
        <w:t>Cílem porovnání finančních charakteristik úpadkových a bezproblémových podniků je pak identifikace veličin, které mají diskriminační potenciál pro tvorbu systému včasného varování podnikové krize. Jde o finanční charakteristiky, které právě odlišují úpadkové a bezproblémové podniky, a to rovněž v období jednoho, dvou a tří let před zjištěním úpadku. Tyto charakteristiky budou zahrnuty do regresního modelu, na jehož základě bude sestaven systém včasného varování podnikové krize. Pro tvorbu tohoto systému bude použita logistická regrese, která je vhodná v případě, že vysvětlovaná proměnná je dichotomická. To koresponduje s výše popsaným záměrem, vytvořit pro podnikatele systém včasného varování s jednoznačným (dichotomickým) výsledkem, který nebude vyžadovat další úvahy. Další postup pak bude spočívat v konstrukci systému včasného varování pomocí logistické regrese, do které budou zařazeny proměnné, u kterých byl identifikován diskriminační potenciál.</w:t>
      </w:r>
    </w:p>
    <w:p w:rsidR="00DD509A" w:rsidRDefault="00DD509A" w:rsidP="00DD509A">
      <w:r>
        <w:br w:type="page"/>
      </w:r>
    </w:p>
    <w:p w:rsidR="00AF3074" w:rsidRDefault="00DD509A" w:rsidP="00DD509A">
      <w:pPr>
        <w:pStyle w:val="Nadpis1"/>
        <w:ind w:left="360"/>
      </w:pPr>
      <w:bookmarkStart w:id="181" w:name="_Toc31054501"/>
      <w:r>
        <w:lastRenderedPageBreak/>
        <w:t>5.</w:t>
      </w:r>
      <w:r>
        <w:tab/>
        <w:t>Příloha č. 1</w:t>
      </w:r>
      <w:bookmarkEnd w:id="181"/>
      <w:r>
        <w:t xml:space="preserve"> </w:t>
      </w:r>
    </w:p>
    <w:p w:rsidR="00074DC4" w:rsidRDefault="00074DC4" w:rsidP="00EF1564">
      <w:pPr>
        <w:rPr>
          <w:szCs w:val="24"/>
        </w:rPr>
      </w:pPr>
    </w:p>
    <w:p w:rsidR="00DD509A" w:rsidRPr="007370B3" w:rsidRDefault="00DD509A" w:rsidP="00DD509A">
      <w:pPr>
        <w:jc w:val="center"/>
        <w:rPr>
          <w:b/>
          <w:caps/>
          <w:szCs w:val="24"/>
        </w:rPr>
      </w:pPr>
      <w:r w:rsidRPr="007370B3">
        <w:rPr>
          <w:b/>
          <w:caps/>
          <w:szCs w:val="24"/>
        </w:rPr>
        <w:t>Financial situation of pre-packed insolvencies</w:t>
      </w:r>
    </w:p>
    <w:p w:rsidR="00DD509A" w:rsidRPr="007370B3" w:rsidRDefault="00DD509A" w:rsidP="00DD509A">
      <w:pPr>
        <w:spacing w:before="240" w:after="120"/>
        <w:jc w:val="center"/>
        <w:rPr>
          <w:spacing w:val="2"/>
          <w:szCs w:val="24"/>
          <w:lang w:val="lt-LT"/>
        </w:rPr>
      </w:pPr>
      <w:r w:rsidRPr="007370B3">
        <w:rPr>
          <w:spacing w:val="-6"/>
          <w:szCs w:val="24"/>
        </w:rPr>
        <w:t>Jaroslav SCHÖNFELD</w:t>
      </w:r>
      <w:r w:rsidRPr="007370B3">
        <w:rPr>
          <w:spacing w:val="-6"/>
          <w:szCs w:val="24"/>
          <w:vertAlign w:val="superscript"/>
        </w:rPr>
        <w:t>1</w:t>
      </w:r>
    </w:p>
    <w:p w:rsidR="00DD509A" w:rsidRPr="007370B3" w:rsidRDefault="00DD509A" w:rsidP="00DD509A">
      <w:pPr>
        <w:jc w:val="center"/>
        <w:rPr>
          <w:i/>
          <w:szCs w:val="24"/>
          <w:vertAlign w:val="superscript"/>
        </w:rPr>
      </w:pPr>
      <w:r w:rsidRPr="007370B3">
        <w:rPr>
          <w:i/>
          <w:szCs w:val="24"/>
          <w:vertAlign w:val="superscript"/>
        </w:rPr>
        <w:t>1</w:t>
      </w:r>
      <w:r w:rsidRPr="007370B3">
        <w:rPr>
          <w:i/>
          <w:szCs w:val="24"/>
        </w:rPr>
        <w:t xml:space="preserve">Department of Strategy, Faculty of Business Administration, University of Economics, Prague, Prague, Czech Republic </w:t>
      </w:r>
    </w:p>
    <w:p w:rsidR="00DD509A" w:rsidRPr="007370B3" w:rsidRDefault="00DD509A" w:rsidP="00DD509A">
      <w:pPr>
        <w:jc w:val="center"/>
        <w:rPr>
          <w:i/>
          <w:szCs w:val="24"/>
        </w:rPr>
      </w:pPr>
      <w:r w:rsidRPr="007370B3">
        <w:rPr>
          <w:i/>
          <w:szCs w:val="24"/>
        </w:rPr>
        <w:t>Corresponding author: Jaroslav, Schönfeld, jaroslav.schonfeld@vse.cz</w:t>
      </w:r>
    </w:p>
    <w:p w:rsidR="00DD509A" w:rsidRPr="007370B3" w:rsidRDefault="00DD509A" w:rsidP="00DD509A">
      <w:pPr>
        <w:spacing w:before="120" w:after="120"/>
        <w:jc w:val="center"/>
        <w:rPr>
          <w:szCs w:val="24"/>
        </w:rPr>
      </w:pPr>
      <w:r w:rsidRPr="007370B3">
        <w:rPr>
          <w:szCs w:val="24"/>
        </w:rPr>
        <w:t>Received day month year; accepted date</w:t>
      </w:r>
    </w:p>
    <w:p w:rsidR="00DD509A" w:rsidRPr="007370B3" w:rsidRDefault="00DD509A" w:rsidP="00DD509A">
      <w:pPr>
        <w:spacing w:before="60"/>
        <w:ind w:left="284" w:right="284"/>
        <w:rPr>
          <w:szCs w:val="24"/>
        </w:rPr>
      </w:pPr>
      <w:r w:rsidRPr="007370B3">
        <w:rPr>
          <w:b/>
          <w:szCs w:val="24"/>
        </w:rPr>
        <w:t>Abstract.</w:t>
      </w:r>
      <w:r w:rsidRPr="007370B3">
        <w:rPr>
          <w:szCs w:val="24"/>
        </w:rPr>
        <w:t xml:space="preserve"> This paper is focused on the financial situation of companies entering insolvency proceedings. It does not work with all kinds of the insolvent companies, but this paper concentrates on one specific issue. The issue is pre-pack insolvencies. Pre-pack insolvencies are insolvency cases which start with an insolvency proposal which is accompanied by a reorganization plan already approved by creditors. Pre-pack insolvencies should help make the insolvency process quicker and enable enterprise financial rehabilitation and sustain the going concern principle. On the other hand, the procedure can hardly be successful when the financial situation of the company is extremely poor. Therefore this paper evaluates the financial situation of the companies with pre-packed insolvencies in the Czech Republic. The analysis of companies was conducted over one, two or three year periods prior to the companies entering an insolvency proceeding. According to the literature, financial indicators used for evaluation are commonly EBITDA, cash liquidity, debt ratio, ROA and the Altman Z-Score prediction model. Results for the individual enterprises are summed up in this paper using basic descriptive and variable statistics. Conclusions have especially practical implications because they show financial inability of majority pre-packed cases.</w:t>
      </w:r>
    </w:p>
    <w:p w:rsidR="00DD509A" w:rsidRDefault="00DD509A" w:rsidP="00DD509A">
      <w:pPr>
        <w:spacing w:before="60"/>
        <w:ind w:left="284" w:right="284"/>
        <w:rPr>
          <w:szCs w:val="24"/>
        </w:rPr>
      </w:pPr>
      <w:r w:rsidRPr="007370B3">
        <w:rPr>
          <w:b/>
          <w:szCs w:val="24"/>
        </w:rPr>
        <w:t>Keywords:</w:t>
      </w:r>
      <w:r w:rsidRPr="007370B3">
        <w:rPr>
          <w:szCs w:val="24"/>
        </w:rPr>
        <w:t xml:space="preserve"> pre-pack cases, financial viability, financial ratios, Altman Z-Score, Insolvency Act, Czech Republic, insolvency proceedings.</w:t>
      </w:r>
    </w:p>
    <w:p w:rsidR="0037729D" w:rsidRPr="007370B3" w:rsidRDefault="0037729D" w:rsidP="00DD509A">
      <w:pPr>
        <w:spacing w:before="60"/>
        <w:ind w:left="284" w:right="284"/>
        <w:rPr>
          <w:szCs w:val="24"/>
        </w:rPr>
      </w:pPr>
    </w:p>
    <w:p w:rsidR="00DD509A" w:rsidRPr="0037729D" w:rsidRDefault="00DD509A" w:rsidP="0037729D">
      <w:pPr>
        <w:rPr>
          <w:b/>
        </w:rPr>
      </w:pPr>
      <w:r w:rsidRPr="0037729D">
        <w:rPr>
          <w:b/>
        </w:rPr>
        <w:t xml:space="preserve">Funding </w:t>
      </w:r>
    </w:p>
    <w:p w:rsidR="00DD509A" w:rsidRDefault="00DD509A" w:rsidP="00DD509A">
      <w:pPr>
        <w:pStyle w:val="Paragraphbody"/>
        <w:rPr>
          <w:sz w:val="24"/>
        </w:rPr>
      </w:pPr>
      <w:r w:rsidRPr="007370B3">
        <w:rPr>
          <w:sz w:val="24"/>
        </w:rPr>
        <w:t>This work was supported by the &lt;The Technology Agency of the Czech Republic&gt; under Grant [The development of preventive and insolvency restructuring of firms in financial difficulties, the possibility of increasing the use and success of these procedures by setting up an early warning system and establishing procedures for preventive restructuring No. TL02000467].</w:t>
      </w:r>
    </w:p>
    <w:p w:rsidR="0037729D" w:rsidRPr="007370B3" w:rsidRDefault="0037729D" w:rsidP="00DD509A">
      <w:pPr>
        <w:pStyle w:val="Paragraphbody"/>
        <w:rPr>
          <w:sz w:val="24"/>
        </w:rPr>
      </w:pPr>
    </w:p>
    <w:p w:rsidR="00DD509A" w:rsidRPr="0037729D" w:rsidRDefault="00DD509A" w:rsidP="0037729D">
      <w:pPr>
        <w:rPr>
          <w:b/>
        </w:rPr>
      </w:pPr>
      <w:r w:rsidRPr="0037729D">
        <w:rPr>
          <w:b/>
        </w:rPr>
        <w:t xml:space="preserve">Disclosure Statement </w:t>
      </w:r>
    </w:p>
    <w:p w:rsidR="00DD509A" w:rsidRPr="007370B3" w:rsidRDefault="00DD509A" w:rsidP="00DD509A">
      <w:pPr>
        <w:spacing w:before="120"/>
        <w:rPr>
          <w:spacing w:val="-4"/>
          <w:szCs w:val="24"/>
        </w:rPr>
      </w:pPr>
      <w:r w:rsidRPr="007370B3">
        <w:rPr>
          <w:spacing w:val="-4"/>
          <w:szCs w:val="24"/>
        </w:rPr>
        <w:t>Author declares that he does not have any competing financial, professional, or personal interests from other parties.</w:t>
      </w:r>
    </w:p>
    <w:p w:rsidR="00DD509A" w:rsidRPr="007370B3" w:rsidRDefault="00DD509A" w:rsidP="00DD509A">
      <w:pPr>
        <w:pStyle w:val="Paragraph"/>
        <w:rPr>
          <w:rFonts w:eastAsia="Arial"/>
          <w:sz w:val="24"/>
        </w:rPr>
      </w:pPr>
    </w:p>
    <w:p w:rsidR="00DD509A" w:rsidRPr="007370B3" w:rsidRDefault="00DD509A" w:rsidP="00DD509A">
      <w:pPr>
        <w:rPr>
          <w:szCs w:val="24"/>
        </w:rPr>
      </w:pPr>
      <w:r w:rsidRPr="007370B3">
        <w:rPr>
          <w:szCs w:val="24"/>
        </w:rPr>
        <w:br w:type="page"/>
      </w:r>
    </w:p>
    <w:p w:rsidR="00DD509A" w:rsidRPr="007370B3" w:rsidRDefault="00DD509A" w:rsidP="007370B3">
      <w:pPr>
        <w:pStyle w:val="Manuscripttitle"/>
        <w:spacing w:before="120" w:after="120"/>
      </w:pPr>
      <w:r w:rsidRPr="007370B3">
        <w:lastRenderedPageBreak/>
        <w:t>Financial situation of pre-packed insolvencies</w:t>
      </w:r>
    </w:p>
    <w:p w:rsidR="00DD509A" w:rsidRPr="007370B3" w:rsidRDefault="00DD509A" w:rsidP="007370B3">
      <w:pPr>
        <w:pStyle w:val="Receiveddates"/>
        <w:rPr>
          <w:sz w:val="24"/>
        </w:rPr>
      </w:pPr>
      <w:r w:rsidRPr="007370B3">
        <w:rPr>
          <w:sz w:val="24"/>
        </w:rPr>
        <w:t>Received day month year; accepted date</w:t>
      </w:r>
    </w:p>
    <w:p w:rsidR="00DD509A" w:rsidRPr="007370B3" w:rsidRDefault="00DD509A" w:rsidP="007370B3">
      <w:pPr>
        <w:pStyle w:val="Abstract"/>
        <w:spacing w:before="120" w:after="120"/>
        <w:rPr>
          <w:sz w:val="24"/>
        </w:rPr>
      </w:pPr>
      <w:r w:rsidRPr="007370B3">
        <w:rPr>
          <w:b/>
          <w:sz w:val="24"/>
        </w:rPr>
        <w:t xml:space="preserve">Abstract. </w:t>
      </w:r>
      <w:r w:rsidRPr="007370B3">
        <w:rPr>
          <w:sz w:val="24"/>
        </w:rPr>
        <w:t>This paper is focused on the financial situation of companies entering insolvency proceedings. It does not work with all kinds of the insolvent companies, but this paper concentrates on one specific issue. The issue is pre-pack insolvencies. Pre-pack insolvencies are insolvency cases which start with an insolvency proposal which is accompanied by a reorganization plan already approved by creditors. Pre-pack insolvencies should help make the insolvency process quicker and enable enterprise financial rehabilitation and sustain the going concern principle. On the other hand, the procedure can hardly be successful when the financial situation of the company is extremely poor. Therefore this paper evaluates the financial situation of the companies with pre-packed insolvencies in the Czech Republic. The analysis of companies was conducted over one, two or three year periods prior to the companies entering an insolvency proceeding. According to the literature, financial indicators used for evaluation are commonly EBITDA, cash liquidity, debt ratio, ROA and the Altman Z-Score prediction model. Results for the individual enterprises are summed up in this paper using basic descriptive and variable statistics. Conclusions have especially practical implications because they show financial inability of majority pre-packed cases.</w:t>
      </w:r>
    </w:p>
    <w:p w:rsidR="00DD509A" w:rsidRPr="007370B3" w:rsidRDefault="00DD509A" w:rsidP="007370B3">
      <w:pPr>
        <w:pStyle w:val="Keywords0"/>
        <w:spacing w:before="120" w:after="120"/>
        <w:rPr>
          <w:sz w:val="24"/>
        </w:rPr>
      </w:pPr>
      <w:r w:rsidRPr="007370B3">
        <w:rPr>
          <w:b/>
          <w:sz w:val="24"/>
        </w:rPr>
        <w:t xml:space="preserve">Keywords: </w:t>
      </w:r>
      <w:r w:rsidRPr="007370B3">
        <w:rPr>
          <w:sz w:val="24"/>
        </w:rPr>
        <w:t>pre-pack cases, financial viability, financial ratios, Altman Z-Score, Insolvency Act, Czech Republic, insolvency proceedings.</w:t>
      </w:r>
    </w:p>
    <w:p w:rsidR="00DD509A" w:rsidRPr="007370B3" w:rsidRDefault="00DD509A" w:rsidP="007370B3">
      <w:pPr>
        <w:spacing w:before="120" w:after="120" w:line="240" w:lineRule="auto"/>
        <w:rPr>
          <w:szCs w:val="24"/>
          <w:lang w:val="en-GB" w:eastAsia="en-GB"/>
        </w:rPr>
      </w:pPr>
    </w:p>
    <w:p w:rsidR="00DD509A" w:rsidRPr="007370B3" w:rsidRDefault="00DD509A" w:rsidP="007370B3">
      <w:pPr>
        <w:spacing w:before="120" w:after="120" w:line="240" w:lineRule="auto"/>
        <w:rPr>
          <w:b/>
          <w:szCs w:val="24"/>
        </w:rPr>
      </w:pPr>
      <w:r w:rsidRPr="007370B3">
        <w:rPr>
          <w:b/>
          <w:szCs w:val="24"/>
        </w:rPr>
        <w:t>Introduction</w:t>
      </w:r>
    </w:p>
    <w:p w:rsidR="00DD509A" w:rsidRPr="007370B3" w:rsidRDefault="00DD509A" w:rsidP="007370B3">
      <w:pPr>
        <w:pStyle w:val="Paragraphbody0ident"/>
        <w:spacing w:before="120" w:after="120"/>
        <w:rPr>
          <w:sz w:val="24"/>
        </w:rPr>
      </w:pPr>
      <w:r w:rsidRPr="007370B3">
        <w:rPr>
          <w:sz w:val="24"/>
        </w:rPr>
        <w:t xml:space="preserve">The existing economic environment and increasing competition create challenging conditions for the functioning of businesses. Many businesses are not able to survive and they have to leave the market. European Commission (2013) findings show that almost 50% of new companies bankrupt within the first five years. Although business failure is part of a dynamic and healthy market, corporate bankruptcy has significant consequences. Bankruptcy does not affect only creditors and debtors, but it can affect the whole economic system (Lee, </w:t>
      </w:r>
      <w:r w:rsidRPr="007370B3">
        <w:rPr>
          <w:sz w:val="24"/>
          <w:lang w:val="cs-CZ"/>
        </w:rPr>
        <w:t>Yamakawa, Peng, &amp; Barney</w:t>
      </w:r>
      <w:r w:rsidRPr="007370B3">
        <w:rPr>
          <w:sz w:val="24"/>
        </w:rPr>
        <w:t xml:space="preserve">, 2011 or </w:t>
      </w:r>
      <w:r w:rsidRPr="007370B3">
        <w:rPr>
          <w:sz w:val="24"/>
          <w:lang w:val="cs-CZ"/>
        </w:rPr>
        <w:t>Peng, Yamakawa, &amp; Lee,</w:t>
      </w:r>
      <w:r w:rsidRPr="007370B3">
        <w:rPr>
          <w:sz w:val="24"/>
        </w:rPr>
        <w:t xml:space="preserve"> 2010). Institutions governing the insolvency processes try to minimize the social cost of corporate failures (</w:t>
      </w:r>
      <w:r w:rsidRPr="007370B3">
        <w:rPr>
          <w:sz w:val="24"/>
          <w:lang w:val="cs-CZ"/>
        </w:rPr>
        <w:t>Eklund, Levratto, &amp; Ramello</w:t>
      </w:r>
      <w:r w:rsidRPr="007370B3">
        <w:rPr>
          <w:sz w:val="24"/>
        </w:rPr>
        <w:t>, 2018). Rescue principle of insolvency is generally supported and there are efforts of the European Union to prefer preventive restructuring (European Parliament, &amp; Council of the European Union, 2016). Research conducted by European Commission (2013) proves that the second-attempted enterprises were much more successful and lasted longer than the average start-ups. These enterprises grow faster and employ more workers. It leads to a conclusion that business failure should not be a last instance of business activity in the future. It could be seen as an opportunity for learning and improving. Pre-packed insolvencies are one of these opportunities for the improvement on one hand and on the other hand for the reduction of the social cost. The success of insolvency is closely linked to the corporate financial situation and the maturity of the business and legal environment.</w:t>
      </w:r>
    </w:p>
    <w:p w:rsidR="00DD509A" w:rsidRPr="007370B3" w:rsidRDefault="00DD509A" w:rsidP="007370B3">
      <w:pPr>
        <w:pStyle w:val="Paragraphbody0ident"/>
        <w:spacing w:before="120" w:after="120"/>
        <w:ind w:firstLine="284"/>
        <w:rPr>
          <w:sz w:val="24"/>
        </w:rPr>
      </w:pPr>
      <w:r w:rsidRPr="007370B3">
        <w:rPr>
          <w:sz w:val="24"/>
        </w:rPr>
        <w:t xml:space="preserve">This paper analyzes the financial situation of businesses entering insolvency in a form of pre-pack. Although there are the papers discussing the legal environment and success of these insolvency cases there does not exist any research works focused on the financial situation before the insolvency proceeding. The previous situation could have serious </w:t>
      </w:r>
      <w:r w:rsidRPr="007370B3">
        <w:rPr>
          <w:sz w:val="24"/>
        </w:rPr>
        <w:lastRenderedPageBreak/>
        <w:t>impact on the pre-pack success and business viability. The paper's originality is based on an analysis which tries to solve a research gap described above.</w:t>
      </w:r>
    </w:p>
    <w:p w:rsidR="00DD509A" w:rsidRPr="007370B3" w:rsidRDefault="00DD509A" w:rsidP="007370B3">
      <w:pPr>
        <w:pStyle w:val="Paragraphbody0ident"/>
        <w:spacing w:before="120" w:after="120"/>
        <w:ind w:firstLine="284"/>
        <w:rPr>
          <w:sz w:val="24"/>
        </w:rPr>
      </w:pPr>
      <w:r w:rsidRPr="007370B3">
        <w:rPr>
          <w:sz w:val="24"/>
        </w:rPr>
        <w:t>The paper has a standard structure. Introduction is followed by literature review in the solved area. The next part is dedicated to paper's aim, methodology and data. The following chapter presents results of the conducted analysis. Discussion solves especially papers' limitations because comparison is impossible due to the research gap. Conclusion summarizes the main findings respecting the institutional environment.</w:t>
      </w:r>
    </w:p>
    <w:p w:rsidR="00DD509A" w:rsidRPr="007370B3" w:rsidRDefault="00DD509A" w:rsidP="007370B3">
      <w:pPr>
        <w:pStyle w:val="Paragraphbody0ident"/>
        <w:spacing w:before="120" w:after="120"/>
        <w:ind w:firstLine="284"/>
        <w:rPr>
          <w:sz w:val="24"/>
        </w:rPr>
      </w:pPr>
    </w:p>
    <w:p w:rsidR="00DD509A" w:rsidRPr="007370B3" w:rsidRDefault="00DD509A" w:rsidP="007370B3">
      <w:pPr>
        <w:pStyle w:val="Paragraphbody0ident"/>
        <w:spacing w:before="120" w:after="120"/>
        <w:ind w:firstLine="284"/>
        <w:rPr>
          <w:sz w:val="24"/>
        </w:rPr>
      </w:pPr>
    </w:p>
    <w:p w:rsidR="00DD509A" w:rsidRPr="007370B3" w:rsidRDefault="00DD509A" w:rsidP="007370B3">
      <w:pPr>
        <w:spacing w:before="120" w:after="120" w:line="240" w:lineRule="auto"/>
        <w:rPr>
          <w:b/>
          <w:szCs w:val="24"/>
        </w:rPr>
      </w:pPr>
      <w:r w:rsidRPr="007370B3">
        <w:rPr>
          <w:b/>
          <w:szCs w:val="24"/>
        </w:rPr>
        <w:t>1. Literature review</w:t>
      </w:r>
    </w:p>
    <w:p w:rsidR="00DD509A" w:rsidRPr="007370B3" w:rsidRDefault="00DD509A" w:rsidP="007370B3">
      <w:pPr>
        <w:pStyle w:val="Paragraphbody0ident"/>
        <w:spacing w:before="120" w:after="120"/>
        <w:rPr>
          <w:sz w:val="24"/>
        </w:rPr>
      </w:pPr>
      <w:r w:rsidRPr="007370B3">
        <w:rPr>
          <w:sz w:val="24"/>
        </w:rPr>
        <w:t xml:space="preserve">There are two main ways for resolving corporate insolvency: reorganization (rescue) procedure and liquidation procedure (concursus). Since 2008, Czech insolvency law (Act No. 182/2006 Coll. on bankruptcy and settlement) follows the standard solutions of the debtor's bankruptcy. While legal regulation of bankruptcy is based on an age-old Central European concept, the concept of the reorganization procedure is inspired by American law (Chapter 11). According to de Weijs, </w:t>
      </w:r>
      <w:r w:rsidRPr="007370B3">
        <w:rPr>
          <w:sz w:val="24"/>
          <w:lang w:val="cs-CZ"/>
        </w:rPr>
        <w:t>&amp; Baltjes (2018)</w:t>
      </w:r>
      <w:r w:rsidRPr="007370B3">
        <w:rPr>
          <w:sz w:val="24"/>
        </w:rPr>
        <w:t xml:space="preserve"> the European Union recently tried to shift the insolvency law towards more reorganization-friendly insolvency regimes. This effort is connected with a Draft Directive on the Preventive Restructuring Framework and Second Chance (European Parliament, &amp; Council of the European Union, 20</w:t>
      </w:r>
      <w:r w:rsidRPr="007370B3">
        <w:rPr>
          <w:sz w:val="24"/>
          <w:lang w:val="cs-CZ"/>
        </w:rPr>
        <w:t xml:space="preserve">16) </w:t>
      </w:r>
      <w:r w:rsidRPr="007370B3">
        <w:rPr>
          <w:sz w:val="24"/>
        </w:rPr>
        <w:t xml:space="preserve">which should provide a framework for implementing reorganization without and an insolvency procedure. It is called as a pre-pack approach whose survey was conducted on British cases by Xie (2016). It should enable reorganization and avoid opening a formal insolvency case although the procedure has many features of a classical insolvency process as Tollenaar (2017) highlights. In the US, such cases are resolved according to the well-known Chapter 11. Chapter 11 provides solutions for a reorganization procedure which is held as a fully formal insolvency process. Empirical evidence about Chapter 11 can be found in Ayotte, </w:t>
      </w:r>
      <w:r w:rsidRPr="007370B3">
        <w:rPr>
          <w:sz w:val="24"/>
          <w:lang w:val="cs-CZ"/>
        </w:rPr>
        <w:t>&amp;</w:t>
      </w:r>
      <w:r w:rsidRPr="007370B3">
        <w:rPr>
          <w:sz w:val="24"/>
        </w:rPr>
        <w:t xml:space="preserve"> Morrison (2009). </w:t>
      </w:r>
    </w:p>
    <w:p w:rsidR="00DD509A" w:rsidRPr="007370B3" w:rsidRDefault="00DD509A" w:rsidP="007370B3">
      <w:pPr>
        <w:pStyle w:val="Paragraphbody0ident"/>
        <w:spacing w:before="120" w:after="120"/>
        <w:ind w:firstLine="284"/>
        <w:rPr>
          <w:sz w:val="24"/>
        </w:rPr>
      </w:pPr>
      <w:r w:rsidRPr="007370B3">
        <w:rPr>
          <w:sz w:val="24"/>
        </w:rPr>
        <w:t xml:space="preserve">The European Draft Directive (European </w:t>
      </w:r>
      <w:proofErr w:type="gramStart"/>
      <w:r w:rsidRPr="007370B3">
        <w:rPr>
          <w:sz w:val="24"/>
        </w:rPr>
        <w:t>Parliament,</w:t>
      </w:r>
      <w:proofErr w:type="gramEnd"/>
      <w:r w:rsidRPr="007370B3">
        <w:rPr>
          <w:sz w:val="24"/>
        </w:rPr>
        <w:t xml:space="preserve"> &amp; Council of the European Union, 20</w:t>
      </w:r>
      <w:r w:rsidRPr="007370B3">
        <w:rPr>
          <w:sz w:val="24"/>
          <w:lang w:val="cs-CZ"/>
        </w:rPr>
        <w:t xml:space="preserve">16) </w:t>
      </w:r>
      <w:r w:rsidRPr="007370B3">
        <w:rPr>
          <w:sz w:val="24"/>
          <w:lang w:val="en-GB"/>
        </w:rPr>
        <w:t xml:space="preserve">does not function on bases of Chapter 11 but it should replace the often strict insolvency laws and make reorganization flexible. The Direction is criticized by Eidenmüller (2017). </w:t>
      </w:r>
      <w:proofErr w:type="gramStart"/>
      <w:r w:rsidRPr="007370B3">
        <w:rPr>
          <w:sz w:val="24"/>
          <w:lang w:val="en-GB"/>
        </w:rPr>
        <w:t>Eidenmüller,</w:t>
      </w:r>
      <w:proofErr w:type="gramEnd"/>
      <w:r w:rsidRPr="007370B3">
        <w:rPr>
          <w:sz w:val="24"/>
          <w:lang w:val="en-GB"/>
        </w:rPr>
        <w:t xml:space="preserve"> &amp; van Zwieten (2015) had also critical remarks to former Restructuring Recommendation of the European Commission. De Weijs, &amp; Baltjes (2018) compare the reorganization to the principle-based procedure and they see liquidation as the rule-based procedure. </w:t>
      </w:r>
      <w:r w:rsidRPr="007370B3">
        <w:rPr>
          <w:sz w:val="24"/>
        </w:rPr>
        <w:t xml:space="preserve">The crucial issue for reorganization is the company´s viability affected by internal and external factors; although, the process itself is governed by law. The insolvency proceeding or other kind of procedure has to balance interests of related parties. </w:t>
      </w:r>
      <w:proofErr w:type="gramStart"/>
      <w:r w:rsidRPr="007370B3">
        <w:rPr>
          <w:sz w:val="24"/>
        </w:rPr>
        <w:t>Armour, Hertig, &amp; Kanda (2017) show that the interests of shareholders and creditors can heavily differ.</w:t>
      </w:r>
      <w:proofErr w:type="gramEnd"/>
      <w:r w:rsidRPr="007370B3">
        <w:rPr>
          <w:sz w:val="24"/>
        </w:rPr>
        <w:t xml:space="preserve"> Management and owners follow two ways. One way they follow is to try and rescue the company and keep the going concern principle although Ključnikov and Popesco (2017) warn that small and medium sized enterprises do not use the basic tools reducing financial risk. The second way they follow is to try to reduce their own risks and possible losses. Specific incentives of the owners and managers lead to a consequence that pre-pack insolvency is the reorganization procedure which needs to have an approved reorganization plan by the creditors. It is a partial role of the government who should form the legal framework and the overall quality of the business environment.</w:t>
      </w:r>
    </w:p>
    <w:p w:rsidR="00DD509A" w:rsidRPr="007370B3" w:rsidRDefault="00DD509A" w:rsidP="007370B3">
      <w:pPr>
        <w:pStyle w:val="Paragraphbody0ident"/>
        <w:spacing w:before="120" w:after="120"/>
        <w:ind w:firstLine="284"/>
        <w:rPr>
          <w:sz w:val="24"/>
          <w:lang w:val="en-GB"/>
        </w:rPr>
      </w:pPr>
      <w:r w:rsidRPr="007370B3">
        <w:rPr>
          <w:sz w:val="24"/>
        </w:rPr>
        <w:t xml:space="preserve">The Czech government should make greater efforts in this area according to Dobeš, Kot, Kramoliš, &amp; Sopková (2017). Although there were many changes in corporate and </w:t>
      </w:r>
      <w:r w:rsidRPr="007370B3">
        <w:rPr>
          <w:sz w:val="24"/>
        </w:rPr>
        <w:lastRenderedPageBreak/>
        <w:t xml:space="preserve">insolvency law in recent years in the Czech Republic it is not enough. The institutional environment stays a barrier (Hlavacek, Zambochova, &amp; Sivicek, 2015). </w:t>
      </w:r>
      <w:r w:rsidRPr="007370B3">
        <w:rPr>
          <w:sz w:val="24"/>
          <w:lang w:val="en-GB"/>
        </w:rPr>
        <w:t xml:space="preserve">Of course, many changes have brought different levels of transaction costs and, moreover, companies have faced financial difficulties due to the global economic crisis (Čámská, 2015). In the Czech Republic the financial rehabilitation (rescue) or, in other words, insolvency reorganization has not been much of a success yet (Smrčka, Schönfeld, </w:t>
      </w:r>
      <w:r w:rsidRPr="007370B3">
        <w:rPr>
          <w:sz w:val="24"/>
        </w:rPr>
        <w:t>&amp; Arltová, 2013)</w:t>
      </w:r>
      <w:r w:rsidRPr="007370B3">
        <w:rPr>
          <w:sz w:val="24"/>
          <w:lang w:val="en-GB"/>
        </w:rPr>
        <w:t xml:space="preserve">. Although international experiences show better results of rescuing. It can be named empirical evidence by Ayotte, </w:t>
      </w:r>
      <w:r w:rsidRPr="007370B3">
        <w:rPr>
          <w:sz w:val="24"/>
        </w:rPr>
        <w:t xml:space="preserve">&amp; Morrison (2009) in the case of US Chapter 11 or enterprises' rescuing situation in England and Germany (Bork, 2012). </w:t>
      </w:r>
      <w:r w:rsidRPr="007370B3">
        <w:rPr>
          <w:sz w:val="24"/>
          <w:lang w:val="en-GB"/>
        </w:rPr>
        <w:t xml:space="preserve">The main issue is that Czech companies start the insolvency procedure almost without any owned or available property (discussed by Kislingerová, Richter </w:t>
      </w:r>
      <w:r w:rsidRPr="007370B3">
        <w:rPr>
          <w:sz w:val="24"/>
        </w:rPr>
        <w:t>&amp; Smrčka, 2013 and proved by Čámská, 2013)</w:t>
      </w:r>
      <w:r w:rsidRPr="007370B3">
        <w:rPr>
          <w:sz w:val="24"/>
          <w:lang w:val="en-GB"/>
        </w:rPr>
        <w:t xml:space="preserve">.  It has serious consequences for creditors, especially low satisfactory rates during the insolvency proceedings discussed by Smrčka, </w:t>
      </w:r>
      <w:r w:rsidRPr="007370B3">
        <w:rPr>
          <w:sz w:val="24"/>
        </w:rPr>
        <w:t>&amp; Čámská (2017)</w:t>
      </w:r>
      <w:r w:rsidRPr="007370B3">
        <w:rPr>
          <w:sz w:val="24"/>
          <w:lang w:val="en-GB"/>
        </w:rPr>
        <w:t xml:space="preserve">.   Corporate bankruptcy does not only influence direct creditors but it also influences many other internal and external stakeholders (Branch, 2002).  </w:t>
      </w:r>
    </w:p>
    <w:p w:rsidR="00DD509A" w:rsidRPr="007370B3" w:rsidRDefault="00DD509A" w:rsidP="007370B3">
      <w:pPr>
        <w:pStyle w:val="Paragraphbody0ident"/>
        <w:spacing w:before="120" w:after="120"/>
        <w:ind w:firstLine="284"/>
        <w:rPr>
          <w:sz w:val="24"/>
          <w:lang w:val="en-GB"/>
        </w:rPr>
      </w:pPr>
    </w:p>
    <w:p w:rsidR="00DD509A" w:rsidRPr="007370B3" w:rsidRDefault="00DD509A" w:rsidP="007370B3">
      <w:pPr>
        <w:spacing w:before="120" w:after="120" w:line="240" w:lineRule="auto"/>
        <w:rPr>
          <w:b/>
          <w:color w:val="FF0000"/>
          <w:szCs w:val="24"/>
        </w:rPr>
      </w:pPr>
      <w:r w:rsidRPr="007370B3">
        <w:rPr>
          <w:b/>
          <w:szCs w:val="24"/>
        </w:rPr>
        <w:t>2. Aim, methodology and data</w:t>
      </w:r>
    </w:p>
    <w:p w:rsidR="00DD509A" w:rsidRPr="007370B3" w:rsidRDefault="00DD509A" w:rsidP="007370B3">
      <w:pPr>
        <w:pStyle w:val="Paragraphbody0ident"/>
        <w:spacing w:before="120" w:after="120"/>
        <w:rPr>
          <w:sz w:val="24"/>
          <w:lang w:val="en-GB"/>
        </w:rPr>
      </w:pPr>
      <w:r w:rsidRPr="007370B3">
        <w:rPr>
          <w:sz w:val="24"/>
          <w:lang w:val="en-GB"/>
        </w:rPr>
        <w:t xml:space="preserve">This chapter is dedicated to explanation of </w:t>
      </w:r>
      <w:r w:rsidRPr="007370B3">
        <w:rPr>
          <w:sz w:val="24"/>
        </w:rPr>
        <w:t>paper's aim</w:t>
      </w:r>
      <w:r w:rsidRPr="007370B3">
        <w:rPr>
          <w:sz w:val="24"/>
          <w:lang w:val="en-GB"/>
        </w:rPr>
        <w:t>, description of a data sample used for a further analysis and methods which will be used in the conducted analysis. The chapter is divided according to the aforementioned parts.</w:t>
      </w:r>
    </w:p>
    <w:p w:rsidR="00DD509A" w:rsidRPr="007370B3" w:rsidRDefault="00DD509A" w:rsidP="007370B3">
      <w:pPr>
        <w:pStyle w:val="Paragraphbody0ident"/>
        <w:spacing w:before="120" w:after="120"/>
        <w:rPr>
          <w:sz w:val="24"/>
          <w:lang w:val="en-GB"/>
        </w:rPr>
      </w:pPr>
    </w:p>
    <w:p w:rsidR="00DD509A" w:rsidRPr="007370B3" w:rsidRDefault="00DD509A" w:rsidP="007C1EE6">
      <w:pPr>
        <w:pStyle w:val="Odstavecseseznamem"/>
        <w:keepNext/>
        <w:numPr>
          <w:ilvl w:val="0"/>
          <w:numId w:val="24"/>
        </w:numPr>
        <w:tabs>
          <w:tab w:val="left" w:pos="426"/>
        </w:tabs>
        <w:spacing w:before="120" w:after="120" w:line="240" w:lineRule="auto"/>
        <w:jc w:val="left"/>
        <w:outlineLvl w:val="1"/>
        <w:rPr>
          <w:rFonts w:cs="Arial"/>
          <w:b/>
          <w:bCs/>
          <w:iCs/>
          <w:vanish/>
          <w:szCs w:val="24"/>
        </w:rPr>
      </w:pPr>
      <w:bookmarkStart w:id="182" w:name="_Toc30967686"/>
      <w:bookmarkStart w:id="183" w:name="_Toc30967778"/>
      <w:bookmarkStart w:id="184" w:name="_Toc30967931"/>
      <w:bookmarkStart w:id="185" w:name="_Toc31018039"/>
      <w:bookmarkStart w:id="186" w:name="_Toc31018106"/>
      <w:bookmarkStart w:id="187" w:name="_Toc31054422"/>
      <w:bookmarkStart w:id="188" w:name="_Toc31054502"/>
      <w:bookmarkEnd w:id="182"/>
      <w:bookmarkEnd w:id="183"/>
      <w:bookmarkEnd w:id="184"/>
      <w:bookmarkEnd w:id="185"/>
      <w:bookmarkEnd w:id="186"/>
      <w:bookmarkEnd w:id="187"/>
      <w:bookmarkEnd w:id="188"/>
    </w:p>
    <w:p w:rsidR="00DD509A" w:rsidRPr="007370B3" w:rsidRDefault="00DD509A" w:rsidP="007C1EE6">
      <w:pPr>
        <w:pStyle w:val="Odstavecseseznamem"/>
        <w:keepNext/>
        <w:numPr>
          <w:ilvl w:val="0"/>
          <w:numId w:val="24"/>
        </w:numPr>
        <w:tabs>
          <w:tab w:val="left" w:pos="426"/>
        </w:tabs>
        <w:spacing w:before="120" w:after="120" w:line="240" w:lineRule="auto"/>
        <w:jc w:val="left"/>
        <w:outlineLvl w:val="1"/>
        <w:rPr>
          <w:rFonts w:cs="Arial"/>
          <w:b/>
          <w:bCs/>
          <w:iCs/>
          <w:vanish/>
          <w:szCs w:val="24"/>
        </w:rPr>
      </w:pPr>
      <w:bookmarkStart w:id="189" w:name="_Toc30967687"/>
      <w:bookmarkStart w:id="190" w:name="_Toc30967779"/>
      <w:bookmarkStart w:id="191" w:name="_Toc30967932"/>
      <w:bookmarkStart w:id="192" w:name="_Toc31018040"/>
      <w:bookmarkStart w:id="193" w:name="_Toc31018107"/>
      <w:bookmarkStart w:id="194" w:name="_Toc31054423"/>
      <w:bookmarkStart w:id="195" w:name="_Toc31054503"/>
      <w:bookmarkEnd w:id="189"/>
      <w:bookmarkEnd w:id="190"/>
      <w:bookmarkEnd w:id="191"/>
      <w:bookmarkEnd w:id="192"/>
      <w:bookmarkEnd w:id="193"/>
      <w:bookmarkEnd w:id="194"/>
      <w:bookmarkEnd w:id="195"/>
    </w:p>
    <w:p w:rsidR="00DD509A" w:rsidRPr="007370B3" w:rsidRDefault="00DD509A" w:rsidP="007370B3">
      <w:pPr>
        <w:spacing w:before="120" w:after="120" w:line="240" w:lineRule="auto"/>
        <w:rPr>
          <w:rFonts w:eastAsia="Arial"/>
          <w:b/>
          <w:szCs w:val="24"/>
        </w:rPr>
      </w:pPr>
      <w:r w:rsidRPr="007370B3">
        <w:rPr>
          <w:b/>
          <w:szCs w:val="24"/>
        </w:rPr>
        <w:t>2.1. Paper's aim</w:t>
      </w:r>
    </w:p>
    <w:p w:rsidR="00DD509A" w:rsidRPr="007370B3" w:rsidRDefault="00DD509A" w:rsidP="007370B3">
      <w:pPr>
        <w:spacing w:before="120" w:after="120" w:line="240" w:lineRule="auto"/>
        <w:rPr>
          <w:spacing w:val="2"/>
          <w:szCs w:val="24"/>
        </w:rPr>
      </w:pPr>
      <w:r w:rsidRPr="007370B3">
        <w:rPr>
          <w:spacing w:val="2"/>
          <w:szCs w:val="24"/>
        </w:rPr>
        <w:t xml:space="preserve">The idea of this paper is to analyse the financial situation of companies which have entered the insolvency procedure with an already prepared reorganization plan. This plan has to be approved by half secured and half unsecured creditors before the insolvency proposal (paragraph 148 of the Act No. 182/2006 Coll.).  Within the already prepared reorganization plan, the debtor can propose to the court the insolvency administrator (trustee) who will lead this case (paragraph 25 of the Act No. 182/2006 Coll.). These insolvency cases are called pre-packed insolvencies by practitioners because they have been prepared before the insolvency proposal has been filed. In the field of corporate financial distress, we found many different approaches to identifying it. The papers on the topic are mainly focused on predicting legal bankruptcy (Appiah, Chizema, &amp; Arthur, 2015).  These bankruptcy models are extremely specific and country by country, because the prediction depends on the legal framework of bankruptcy, accounting standards and the respective country’s economic environment (Levratto, 2013).  The most important thing is that the event of bankruptcy is a real corporate financial situation which can be monitored and evaluated. This means that what is crucial is not the event of bankruptcy but the event of financial deterioration which results in financial distress. According to Farooq, Jibran Qamar, &amp; Haque (2018) financial distress can be divided into three adverse stages: profit reduction, mild liquidity and severe liquidity.  </w:t>
      </w:r>
    </w:p>
    <w:p w:rsidR="00DD509A" w:rsidRPr="007370B3" w:rsidRDefault="00DD509A" w:rsidP="007370B3">
      <w:pPr>
        <w:spacing w:before="120" w:after="120" w:line="240" w:lineRule="auto"/>
        <w:ind w:firstLine="284"/>
        <w:rPr>
          <w:spacing w:val="2"/>
          <w:szCs w:val="24"/>
        </w:rPr>
      </w:pPr>
      <w:r w:rsidRPr="007370B3">
        <w:rPr>
          <w:spacing w:val="2"/>
          <w:szCs w:val="24"/>
        </w:rPr>
        <w:t xml:space="preserve">This paper is focused on the real financial situation of the companies which entered the insolvency proceedings as pre-packed insolvencies. As it was written pre-packed insolvencies are already agreed by the creditors. It means that there is a trust that the enterprise can be viable and survive in the long run. One crucial component for the viability is the financial situation. It leads to an idea that pre-packed insolvencies should not be in disaster financial conditions. This paper will prove the real financial situation and show if it the financial situation is crucial for an approval of the reorganization plan. Results can show </w:t>
      </w:r>
      <w:r w:rsidRPr="007370B3">
        <w:rPr>
          <w:spacing w:val="2"/>
          <w:szCs w:val="24"/>
        </w:rPr>
        <w:lastRenderedPageBreak/>
        <w:t>that the financial situation is not the key component for the creditors and they approve the reorganization regardless of the financial conditions.</w:t>
      </w:r>
    </w:p>
    <w:p w:rsidR="00DD509A" w:rsidRPr="007370B3" w:rsidRDefault="00DD509A" w:rsidP="007370B3">
      <w:pPr>
        <w:spacing w:before="120" w:after="120" w:line="240" w:lineRule="auto"/>
        <w:rPr>
          <w:rFonts w:eastAsia="Arial"/>
          <w:b/>
          <w:szCs w:val="24"/>
        </w:rPr>
      </w:pPr>
      <w:r w:rsidRPr="007370B3">
        <w:rPr>
          <w:b/>
          <w:szCs w:val="24"/>
        </w:rPr>
        <w:t>2.2. Data sample</w:t>
      </w:r>
    </w:p>
    <w:p w:rsidR="00DD509A" w:rsidRPr="007370B3" w:rsidRDefault="00DD509A" w:rsidP="007370B3">
      <w:pPr>
        <w:spacing w:before="120" w:after="120" w:line="240" w:lineRule="auto"/>
        <w:rPr>
          <w:spacing w:val="2"/>
          <w:szCs w:val="24"/>
        </w:rPr>
      </w:pPr>
      <w:r w:rsidRPr="007370B3">
        <w:rPr>
          <w:spacing w:val="2"/>
          <w:szCs w:val="24"/>
        </w:rPr>
        <w:t>The paper's analysis is based on a data sample filtered from the corporate database Bisnode Magnusweb. This data sample contains companies which entered insolvency with the already prepared reorganization plan. For the purpose of this paper, these cases are called pre-packed insolvencies. The final sample consists of 53 enterprises (legal entities). The sample does not contain all pre-packed insolvencies because of the unpublished financial statements. Financial statements whose unavailability is analysed by Bokšová, &amp; Randáková (2013) are a necessary input to determine an enterprise’s financial characteristics.</w:t>
      </w:r>
    </w:p>
    <w:p w:rsidR="00DD509A" w:rsidRPr="007370B3" w:rsidRDefault="00DD509A" w:rsidP="007370B3">
      <w:pPr>
        <w:pStyle w:val="Paragraphbody0ident"/>
        <w:spacing w:before="120" w:after="120"/>
        <w:ind w:firstLine="284"/>
        <w:rPr>
          <w:sz w:val="24"/>
        </w:rPr>
      </w:pPr>
      <w:r w:rsidRPr="007370B3">
        <w:rPr>
          <w:sz w:val="24"/>
        </w:rPr>
        <w:t xml:space="preserve">The final data sample contains 120 annual financial statements. The data disclosure is not regular because 3 years before insolvency there are available the financial statements of 48 companies, 2 years before insolvency 42 companies and 1 year before insolvency already only 30 companies published their statements. The decreasing number of the companies shows that companies are less likely to publish their financial statements the closer in time to their respective insolvency proceeding. It is evident that the data disclosure is not regular. </w:t>
      </w:r>
    </w:p>
    <w:p w:rsidR="00DD509A" w:rsidRPr="007370B3" w:rsidRDefault="00DD509A" w:rsidP="00DD509A">
      <w:pPr>
        <w:pStyle w:val="Tabletitle"/>
        <w:rPr>
          <w:sz w:val="24"/>
        </w:rPr>
      </w:pPr>
      <w:proofErr w:type="gramStart"/>
      <w:r w:rsidRPr="007370B3">
        <w:rPr>
          <w:sz w:val="24"/>
        </w:rPr>
        <w:t>Table 1.</w:t>
      </w:r>
      <w:proofErr w:type="gramEnd"/>
      <w:r w:rsidRPr="007370B3">
        <w:rPr>
          <w:sz w:val="24"/>
        </w:rPr>
        <w:t xml:space="preserve"> Sample structure – company's size (measured by annual sales in mil. CZK</w:t>
      </w:r>
      <w:proofErr w:type="gramStart"/>
      <w:r w:rsidRPr="007370B3">
        <w:rPr>
          <w:sz w:val="24"/>
        </w:rPr>
        <w:t>)</w:t>
      </w:r>
      <w:proofErr w:type="gramEnd"/>
      <w:r w:rsidRPr="007370B3">
        <w:rPr>
          <w:sz w:val="24"/>
        </w:rPr>
        <w:br/>
        <w:t>(source: author based on Bisnode Magnusweb)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180"/>
        <w:gridCol w:w="1976"/>
        <w:gridCol w:w="1976"/>
        <w:gridCol w:w="1976"/>
        <w:gridCol w:w="1974"/>
      </w:tblGrid>
      <w:tr w:rsidR="00DD509A" w:rsidRPr="007370B3" w:rsidTr="00DD509A">
        <w:trPr>
          <w:trHeight w:val="346"/>
          <w:jc w:val="center"/>
        </w:trPr>
        <w:tc>
          <w:tcPr>
            <w:tcW w:w="649" w:type="pct"/>
            <w:vAlign w:val="center"/>
          </w:tcPr>
          <w:p w:rsidR="00DD509A" w:rsidRPr="007370B3" w:rsidRDefault="00DD509A" w:rsidP="00DD509A">
            <w:pPr>
              <w:spacing w:line="480" w:lineRule="auto"/>
              <w:jc w:val="center"/>
              <w:rPr>
                <w:bCs/>
                <w:szCs w:val="24"/>
              </w:rPr>
            </w:pPr>
            <w:r w:rsidRPr="007370B3">
              <w:rPr>
                <w:bCs/>
                <w:szCs w:val="24"/>
              </w:rPr>
              <w:t> </w:t>
            </w:r>
          </w:p>
        </w:tc>
        <w:tc>
          <w:tcPr>
            <w:tcW w:w="1088" w:type="pct"/>
            <w:vAlign w:val="center"/>
          </w:tcPr>
          <w:p w:rsidR="00DD509A" w:rsidRPr="007370B3" w:rsidRDefault="00DD509A" w:rsidP="00DD509A">
            <w:pPr>
              <w:spacing w:line="480" w:lineRule="auto"/>
              <w:jc w:val="center"/>
              <w:rPr>
                <w:bCs/>
                <w:szCs w:val="24"/>
              </w:rPr>
            </w:pPr>
            <w:r w:rsidRPr="007370B3">
              <w:rPr>
                <w:bCs/>
                <w:szCs w:val="24"/>
              </w:rPr>
              <w:t>1 year before insolvency</w:t>
            </w:r>
          </w:p>
        </w:tc>
        <w:tc>
          <w:tcPr>
            <w:tcW w:w="1088" w:type="pct"/>
            <w:vAlign w:val="center"/>
          </w:tcPr>
          <w:p w:rsidR="00DD509A" w:rsidRPr="007370B3" w:rsidRDefault="00DD509A" w:rsidP="00DD509A">
            <w:pPr>
              <w:spacing w:line="480" w:lineRule="auto"/>
              <w:jc w:val="center"/>
              <w:rPr>
                <w:bCs/>
                <w:szCs w:val="24"/>
              </w:rPr>
            </w:pPr>
            <w:r w:rsidRPr="007370B3">
              <w:rPr>
                <w:bCs/>
                <w:szCs w:val="24"/>
              </w:rPr>
              <w:t>2 years before insolvency</w:t>
            </w:r>
          </w:p>
        </w:tc>
        <w:tc>
          <w:tcPr>
            <w:tcW w:w="1088" w:type="pct"/>
            <w:vAlign w:val="center"/>
          </w:tcPr>
          <w:p w:rsidR="00DD509A" w:rsidRPr="007370B3" w:rsidRDefault="00DD509A" w:rsidP="00DD509A">
            <w:pPr>
              <w:spacing w:line="480" w:lineRule="auto"/>
              <w:jc w:val="center"/>
              <w:rPr>
                <w:bCs/>
                <w:szCs w:val="24"/>
              </w:rPr>
            </w:pPr>
            <w:r w:rsidRPr="007370B3">
              <w:rPr>
                <w:bCs/>
                <w:szCs w:val="24"/>
              </w:rPr>
              <w:t>3 years before insolvency</w:t>
            </w:r>
          </w:p>
        </w:tc>
        <w:tc>
          <w:tcPr>
            <w:tcW w:w="1087" w:type="pct"/>
            <w:vAlign w:val="center"/>
          </w:tcPr>
          <w:p w:rsidR="00DD509A" w:rsidRPr="007370B3" w:rsidRDefault="00DD509A" w:rsidP="00DD509A">
            <w:pPr>
              <w:spacing w:line="480" w:lineRule="auto"/>
              <w:jc w:val="center"/>
              <w:rPr>
                <w:bCs/>
                <w:szCs w:val="24"/>
              </w:rPr>
            </w:pPr>
            <w:r w:rsidRPr="007370B3">
              <w:rPr>
                <w:bCs/>
                <w:szCs w:val="24"/>
              </w:rPr>
              <w:t>Total</w:t>
            </w:r>
          </w:p>
        </w:tc>
      </w:tr>
      <w:tr w:rsidR="00DD509A" w:rsidRPr="007370B3" w:rsidTr="00DD509A">
        <w:trPr>
          <w:trHeight w:val="346"/>
          <w:jc w:val="center"/>
        </w:trPr>
        <w:tc>
          <w:tcPr>
            <w:tcW w:w="649" w:type="pct"/>
            <w:vAlign w:val="center"/>
          </w:tcPr>
          <w:p w:rsidR="00DD509A" w:rsidRPr="007370B3" w:rsidRDefault="00DD509A" w:rsidP="00DD509A">
            <w:pPr>
              <w:spacing w:line="480" w:lineRule="auto"/>
              <w:rPr>
                <w:bCs/>
                <w:szCs w:val="24"/>
              </w:rPr>
            </w:pPr>
            <w:r w:rsidRPr="007370B3">
              <w:rPr>
                <w:bCs/>
                <w:szCs w:val="24"/>
              </w:rPr>
              <w:t>&lt;= 49.999</w:t>
            </w:r>
          </w:p>
        </w:tc>
        <w:tc>
          <w:tcPr>
            <w:tcW w:w="1088" w:type="pct"/>
            <w:vAlign w:val="center"/>
          </w:tcPr>
          <w:p w:rsidR="00DD509A" w:rsidRPr="007370B3" w:rsidRDefault="00DD509A" w:rsidP="00DD509A">
            <w:pPr>
              <w:spacing w:line="480" w:lineRule="auto"/>
              <w:rPr>
                <w:bCs/>
                <w:szCs w:val="24"/>
              </w:rPr>
            </w:pPr>
            <w:r w:rsidRPr="007370B3">
              <w:rPr>
                <w:bCs/>
                <w:szCs w:val="24"/>
              </w:rPr>
              <w:t>43.3%</w:t>
            </w:r>
          </w:p>
        </w:tc>
        <w:tc>
          <w:tcPr>
            <w:tcW w:w="1088" w:type="pct"/>
            <w:vAlign w:val="center"/>
          </w:tcPr>
          <w:p w:rsidR="00DD509A" w:rsidRPr="007370B3" w:rsidRDefault="00DD509A" w:rsidP="00DD509A">
            <w:pPr>
              <w:spacing w:line="480" w:lineRule="auto"/>
              <w:rPr>
                <w:bCs/>
                <w:szCs w:val="24"/>
              </w:rPr>
            </w:pPr>
            <w:r w:rsidRPr="007370B3">
              <w:rPr>
                <w:bCs/>
                <w:szCs w:val="24"/>
              </w:rPr>
              <w:t>42.9%</w:t>
            </w:r>
          </w:p>
        </w:tc>
        <w:tc>
          <w:tcPr>
            <w:tcW w:w="1088" w:type="pct"/>
            <w:vAlign w:val="center"/>
          </w:tcPr>
          <w:p w:rsidR="00DD509A" w:rsidRPr="007370B3" w:rsidRDefault="00DD509A" w:rsidP="00DD509A">
            <w:pPr>
              <w:spacing w:line="480" w:lineRule="auto"/>
              <w:rPr>
                <w:bCs/>
                <w:szCs w:val="24"/>
              </w:rPr>
            </w:pPr>
            <w:r w:rsidRPr="007370B3">
              <w:rPr>
                <w:bCs/>
                <w:szCs w:val="24"/>
              </w:rPr>
              <w:t>41.7%</w:t>
            </w:r>
          </w:p>
        </w:tc>
        <w:tc>
          <w:tcPr>
            <w:tcW w:w="1087" w:type="pct"/>
            <w:vAlign w:val="center"/>
          </w:tcPr>
          <w:p w:rsidR="00DD509A" w:rsidRPr="007370B3" w:rsidRDefault="00DD509A" w:rsidP="00DD509A">
            <w:pPr>
              <w:spacing w:line="480" w:lineRule="auto"/>
              <w:rPr>
                <w:bCs/>
                <w:szCs w:val="24"/>
              </w:rPr>
            </w:pPr>
            <w:r w:rsidRPr="007370B3">
              <w:rPr>
                <w:bCs/>
                <w:szCs w:val="24"/>
              </w:rPr>
              <w:t>42.5%</w:t>
            </w:r>
          </w:p>
        </w:tc>
      </w:tr>
      <w:tr w:rsidR="00DD509A" w:rsidRPr="007370B3" w:rsidTr="00DD509A">
        <w:trPr>
          <w:trHeight w:val="346"/>
          <w:jc w:val="center"/>
        </w:trPr>
        <w:tc>
          <w:tcPr>
            <w:tcW w:w="649" w:type="pct"/>
            <w:vAlign w:val="center"/>
          </w:tcPr>
          <w:p w:rsidR="00DD509A" w:rsidRPr="007370B3" w:rsidRDefault="00DD509A" w:rsidP="00DD509A">
            <w:pPr>
              <w:spacing w:line="480" w:lineRule="auto"/>
              <w:rPr>
                <w:bCs/>
                <w:szCs w:val="24"/>
              </w:rPr>
            </w:pPr>
            <w:r w:rsidRPr="007370B3">
              <w:rPr>
                <w:bCs/>
                <w:szCs w:val="24"/>
              </w:rPr>
              <w:t>50.000 - 99.999</w:t>
            </w:r>
          </w:p>
        </w:tc>
        <w:tc>
          <w:tcPr>
            <w:tcW w:w="1088" w:type="pct"/>
            <w:vAlign w:val="center"/>
          </w:tcPr>
          <w:p w:rsidR="00DD509A" w:rsidRPr="007370B3" w:rsidRDefault="00DD509A" w:rsidP="00DD509A">
            <w:pPr>
              <w:spacing w:line="480" w:lineRule="auto"/>
              <w:rPr>
                <w:bCs/>
                <w:szCs w:val="24"/>
              </w:rPr>
            </w:pPr>
            <w:r w:rsidRPr="007370B3">
              <w:rPr>
                <w:bCs/>
                <w:szCs w:val="24"/>
              </w:rPr>
              <w:t>6.7%</w:t>
            </w:r>
          </w:p>
        </w:tc>
        <w:tc>
          <w:tcPr>
            <w:tcW w:w="1088" w:type="pct"/>
            <w:vAlign w:val="center"/>
          </w:tcPr>
          <w:p w:rsidR="00DD509A" w:rsidRPr="007370B3" w:rsidRDefault="00DD509A" w:rsidP="00DD509A">
            <w:pPr>
              <w:spacing w:line="480" w:lineRule="auto"/>
              <w:rPr>
                <w:bCs/>
                <w:szCs w:val="24"/>
              </w:rPr>
            </w:pPr>
            <w:r w:rsidRPr="007370B3">
              <w:rPr>
                <w:bCs/>
                <w:szCs w:val="24"/>
              </w:rPr>
              <w:t>7.1%</w:t>
            </w:r>
          </w:p>
        </w:tc>
        <w:tc>
          <w:tcPr>
            <w:tcW w:w="1088" w:type="pct"/>
            <w:vAlign w:val="center"/>
          </w:tcPr>
          <w:p w:rsidR="00DD509A" w:rsidRPr="007370B3" w:rsidRDefault="00DD509A" w:rsidP="00DD509A">
            <w:pPr>
              <w:spacing w:line="480" w:lineRule="auto"/>
              <w:rPr>
                <w:bCs/>
                <w:szCs w:val="24"/>
              </w:rPr>
            </w:pPr>
            <w:r w:rsidRPr="007370B3">
              <w:rPr>
                <w:bCs/>
                <w:szCs w:val="24"/>
              </w:rPr>
              <w:t>14.6%</w:t>
            </w:r>
          </w:p>
        </w:tc>
        <w:tc>
          <w:tcPr>
            <w:tcW w:w="1087" w:type="pct"/>
            <w:vAlign w:val="center"/>
          </w:tcPr>
          <w:p w:rsidR="00DD509A" w:rsidRPr="007370B3" w:rsidRDefault="00DD509A" w:rsidP="00DD509A">
            <w:pPr>
              <w:spacing w:line="480" w:lineRule="auto"/>
              <w:rPr>
                <w:bCs/>
                <w:szCs w:val="24"/>
              </w:rPr>
            </w:pPr>
            <w:r w:rsidRPr="007370B3">
              <w:rPr>
                <w:bCs/>
                <w:szCs w:val="24"/>
              </w:rPr>
              <w:t>10.0%</w:t>
            </w:r>
          </w:p>
        </w:tc>
      </w:tr>
      <w:tr w:rsidR="00DD509A" w:rsidRPr="007370B3" w:rsidTr="00DD509A">
        <w:trPr>
          <w:trHeight w:val="346"/>
          <w:jc w:val="center"/>
        </w:trPr>
        <w:tc>
          <w:tcPr>
            <w:tcW w:w="649" w:type="pct"/>
            <w:vAlign w:val="center"/>
          </w:tcPr>
          <w:p w:rsidR="00DD509A" w:rsidRPr="007370B3" w:rsidRDefault="00DD509A" w:rsidP="00DD509A">
            <w:pPr>
              <w:spacing w:line="480" w:lineRule="auto"/>
              <w:rPr>
                <w:bCs/>
                <w:szCs w:val="24"/>
              </w:rPr>
            </w:pPr>
            <w:r w:rsidRPr="007370B3">
              <w:rPr>
                <w:bCs/>
                <w:szCs w:val="24"/>
              </w:rPr>
              <w:t>100.000 - 499.999</w:t>
            </w:r>
          </w:p>
        </w:tc>
        <w:tc>
          <w:tcPr>
            <w:tcW w:w="1088" w:type="pct"/>
            <w:vAlign w:val="center"/>
          </w:tcPr>
          <w:p w:rsidR="00DD509A" w:rsidRPr="007370B3" w:rsidRDefault="00DD509A" w:rsidP="00DD509A">
            <w:pPr>
              <w:spacing w:line="480" w:lineRule="auto"/>
              <w:rPr>
                <w:bCs/>
                <w:szCs w:val="24"/>
              </w:rPr>
            </w:pPr>
            <w:r w:rsidRPr="007370B3">
              <w:rPr>
                <w:bCs/>
                <w:szCs w:val="24"/>
              </w:rPr>
              <w:t>33.3%</w:t>
            </w:r>
          </w:p>
        </w:tc>
        <w:tc>
          <w:tcPr>
            <w:tcW w:w="1088" w:type="pct"/>
            <w:vAlign w:val="center"/>
          </w:tcPr>
          <w:p w:rsidR="00DD509A" w:rsidRPr="007370B3" w:rsidRDefault="00DD509A" w:rsidP="00DD509A">
            <w:pPr>
              <w:spacing w:line="480" w:lineRule="auto"/>
              <w:rPr>
                <w:bCs/>
                <w:szCs w:val="24"/>
              </w:rPr>
            </w:pPr>
            <w:r w:rsidRPr="007370B3">
              <w:rPr>
                <w:bCs/>
                <w:szCs w:val="24"/>
              </w:rPr>
              <w:t>26.2%</w:t>
            </w:r>
          </w:p>
        </w:tc>
        <w:tc>
          <w:tcPr>
            <w:tcW w:w="1088" w:type="pct"/>
            <w:vAlign w:val="center"/>
          </w:tcPr>
          <w:p w:rsidR="00DD509A" w:rsidRPr="007370B3" w:rsidRDefault="00DD509A" w:rsidP="00DD509A">
            <w:pPr>
              <w:spacing w:line="480" w:lineRule="auto"/>
              <w:rPr>
                <w:bCs/>
                <w:szCs w:val="24"/>
              </w:rPr>
            </w:pPr>
            <w:r w:rsidRPr="007370B3">
              <w:rPr>
                <w:bCs/>
                <w:szCs w:val="24"/>
              </w:rPr>
              <w:t>22.9%</w:t>
            </w:r>
          </w:p>
        </w:tc>
        <w:tc>
          <w:tcPr>
            <w:tcW w:w="1087" w:type="pct"/>
            <w:vAlign w:val="center"/>
          </w:tcPr>
          <w:p w:rsidR="00DD509A" w:rsidRPr="007370B3" w:rsidRDefault="00DD509A" w:rsidP="00DD509A">
            <w:pPr>
              <w:spacing w:line="480" w:lineRule="auto"/>
              <w:rPr>
                <w:bCs/>
                <w:szCs w:val="24"/>
              </w:rPr>
            </w:pPr>
            <w:r w:rsidRPr="007370B3">
              <w:rPr>
                <w:bCs/>
                <w:szCs w:val="24"/>
              </w:rPr>
              <w:t>26.7%</w:t>
            </w:r>
          </w:p>
        </w:tc>
      </w:tr>
      <w:tr w:rsidR="00DD509A" w:rsidRPr="007370B3" w:rsidTr="00DD509A">
        <w:trPr>
          <w:trHeight w:val="346"/>
          <w:jc w:val="center"/>
        </w:trPr>
        <w:tc>
          <w:tcPr>
            <w:tcW w:w="649" w:type="pct"/>
            <w:vAlign w:val="center"/>
          </w:tcPr>
          <w:p w:rsidR="00DD509A" w:rsidRPr="007370B3" w:rsidRDefault="00DD509A" w:rsidP="00DD509A">
            <w:pPr>
              <w:spacing w:line="480" w:lineRule="auto"/>
              <w:rPr>
                <w:bCs/>
                <w:szCs w:val="24"/>
              </w:rPr>
            </w:pPr>
            <w:r w:rsidRPr="007370B3">
              <w:rPr>
                <w:bCs/>
                <w:szCs w:val="24"/>
              </w:rPr>
              <w:t>500.000 - 999.999</w:t>
            </w:r>
          </w:p>
        </w:tc>
        <w:tc>
          <w:tcPr>
            <w:tcW w:w="1088" w:type="pct"/>
            <w:vAlign w:val="center"/>
          </w:tcPr>
          <w:p w:rsidR="00DD509A" w:rsidRPr="007370B3" w:rsidRDefault="00DD509A" w:rsidP="00DD509A">
            <w:pPr>
              <w:spacing w:line="480" w:lineRule="auto"/>
              <w:rPr>
                <w:bCs/>
                <w:szCs w:val="24"/>
              </w:rPr>
            </w:pPr>
            <w:r w:rsidRPr="007370B3">
              <w:rPr>
                <w:bCs/>
                <w:szCs w:val="24"/>
              </w:rPr>
              <w:t>6.7%</w:t>
            </w:r>
          </w:p>
        </w:tc>
        <w:tc>
          <w:tcPr>
            <w:tcW w:w="1088" w:type="pct"/>
            <w:vAlign w:val="center"/>
          </w:tcPr>
          <w:p w:rsidR="00DD509A" w:rsidRPr="007370B3" w:rsidRDefault="00DD509A" w:rsidP="00DD509A">
            <w:pPr>
              <w:spacing w:line="480" w:lineRule="auto"/>
              <w:rPr>
                <w:bCs/>
                <w:szCs w:val="24"/>
              </w:rPr>
            </w:pPr>
            <w:r w:rsidRPr="007370B3">
              <w:rPr>
                <w:bCs/>
                <w:szCs w:val="24"/>
              </w:rPr>
              <w:t>11.9%</w:t>
            </w:r>
          </w:p>
        </w:tc>
        <w:tc>
          <w:tcPr>
            <w:tcW w:w="1088" w:type="pct"/>
            <w:vAlign w:val="center"/>
          </w:tcPr>
          <w:p w:rsidR="00DD509A" w:rsidRPr="007370B3" w:rsidRDefault="00DD509A" w:rsidP="00DD509A">
            <w:pPr>
              <w:spacing w:line="480" w:lineRule="auto"/>
              <w:rPr>
                <w:bCs/>
                <w:szCs w:val="24"/>
              </w:rPr>
            </w:pPr>
            <w:r w:rsidRPr="007370B3">
              <w:rPr>
                <w:bCs/>
                <w:szCs w:val="24"/>
              </w:rPr>
              <w:t>10.4%</w:t>
            </w:r>
          </w:p>
        </w:tc>
        <w:tc>
          <w:tcPr>
            <w:tcW w:w="1087" w:type="pct"/>
            <w:vAlign w:val="center"/>
          </w:tcPr>
          <w:p w:rsidR="00DD509A" w:rsidRPr="007370B3" w:rsidRDefault="00DD509A" w:rsidP="00DD509A">
            <w:pPr>
              <w:spacing w:line="480" w:lineRule="auto"/>
              <w:rPr>
                <w:bCs/>
                <w:szCs w:val="24"/>
              </w:rPr>
            </w:pPr>
            <w:r w:rsidRPr="007370B3">
              <w:rPr>
                <w:bCs/>
                <w:szCs w:val="24"/>
              </w:rPr>
              <w:t>10.0%</w:t>
            </w:r>
          </w:p>
        </w:tc>
      </w:tr>
      <w:tr w:rsidR="00DD509A" w:rsidRPr="007370B3" w:rsidTr="00DD509A">
        <w:trPr>
          <w:trHeight w:val="346"/>
          <w:jc w:val="center"/>
        </w:trPr>
        <w:tc>
          <w:tcPr>
            <w:tcW w:w="649" w:type="pct"/>
            <w:vAlign w:val="center"/>
          </w:tcPr>
          <w:p w:rsidR="00DD509A" w:rsidRPr="007370B3" w:rsidRDefault="00DD509A" w:rsidP="00DD509A">
            <w:pPr>
              <w:spacing w:line="480" w:lineRule="auto"/>
              <w:rPr>
                <w:bCs/>
                <w:szCs w:val="24"/>
              </w:rPr>
            </w:pPr>
            <w:r w:rsidRPr="007370B3">
              <w:rPr>
                <w:bCs/>
                <w:szCs w:val="24"/>
              </w:rPr>
              <w:t>1.000.000+</w:t>
            </w:r>
          </w:p>
        </w:tc>
        <w:tc>
          <w:tcPr>
            <w:tcW w:w="1088" w:type="pct"/>
            <w:vAlign w:val="center"/>
          </w:tcPr>
          <w:p w:rsidR="00DD509A" w:rsidRPr="007370B3" w:rsidRDefault="00DD509A" w:rsidP="00DD509A">
            <w:pPr>
              <w:spacing w:line="480" w:lineRule="auto"/>
              <w:rPr>
                <w:bCs/>
                <w:szCs w:val="24"/>
              </w:rPr>
            </w:pPr>
            <w:r w:rsidRPr="007370B3">
              <w:rPr>
                <w:bCs/>
                <w:szCs w:val="24"/>
              </w:rPr>
              <w:t>10.0%</w:t>
            </w:r>
          </w:p>
        </w:tc>
        <w:tc>
          <w:tcPr>
            <w:tcW w:w="1088" w:type="pct"/>
            <w:vAlign w:val="center"/>
          </w:tcPr>
          <w:p w:rsidR="00DD509A" w:rsidRPr="007370B3" w:rsidRDefault="00DD509A" w:rsidP="00DD509A">
            <w:pPr>
              <w:spacing w:line="480" w:lineRule="auto"/>
              <w:rPr>
                <w:bCs/>
                <w:szCs w:val="24"/>
              </w:rPr>
            </w:pPr>
            <w:r w:rsidRPr="007370B3">
              <w:rPr>
                <w:bCs/>
                <w:szCs w:val="24"/>
              </w:rPr>
              <w:t>11.9%</w:t>
            </w:r>
          </w:p>
        </w:tc>
        <w:tc>
          <w:tcPr>
            <w:tcW w:w="1088" w:type="pct"/>
            <w:vAlign w:val="center"/>
          </w:tcPr>
          <w:p w:rsidR="00DD509A" w:rsidRPr="007370B3" w:rsidRDefault="00DD509A" w:rsidP="00DD509A">
            <w:pPr>
              <w:spacing w:line="480" w:lineRule="auto"/>
              <w:rPr>
                <w:bCs/>
                <w:szCs w:val="24"/>
              </w:rPr>
            </w:pPr>
            <w:r w:rsidRPr="007370B3">
              <w:rPr>
                <w:bCs/>
                <w:szCs w:val="24"/>
              </w:rPr>
              <w:t>10.4%</w:t>
            </w:r>
          </w:p>
        </w:tc>
        <w:tc>
          <w:tcPr>
            <w:tcW w:w="1087" w:type="pct"/>
            <w:vAlign w:val="center"/>
          </w:tcPr>
          <w:p w:rsidR="00DD509A" w:rsidRPr="007370B3" w:rsidRDefault="00DD509A" w:rsidP="00DD509A">
            <w:pPr>
              <w:spacing w:line="480" w:lineRule="auto"/>
              <w:rPr>
                <w:bCs/>
                <w:szCs w:val="24"/>
              </w:rPr>
            </w:pPr>
            <w:r w:rsidRPr="007370B3">
              <w:rPr>
                <w:bCs/>
                <w:szCs w:val="24"/>
              </w:rPr>
              <w:t>10.8%</w:t>
            </w:r>
          </w:p>
        </w:tc>
      </w:tr>
      <w:tr w:rsidR="00DD509A" w:rsidRPr="007370B3" w:rsidTr="00DD509A">
        <w:trPr>
          <w:trHeight w:val="346"/>
          <w:jc w:val="center"/>
        </w:trPr>
        <w:tc>
          <w:tcPr>
            <w:tcW w:w="649" w:type="pct"/>
            <w:vAlign w:val="center"/>
          </w:tcPr>
          <w:p w:rsidR="00DD509A" w:rsidRPr="007370B3" w:rsidRDefault="00DD509A" w:rsidP="00DD509A">
            <w:pPr>
              <w:spacing w:line="480" w:lineRule="auto"/>
              <w:rPr>
                <w:bCs/>
                <w:szCs w:val="24"/>
              </w:rPr>
            </w:pPr>
            <w:r w:rsidRPr="007370B3">
              <w:rPr>
                <w:bCs/>
                <w:szCs w:val="24"/>
              </w:rPr>
              <w:t>Total</w:t>
            </w:r>
          </w:p>
        </w:tc>
        <w:tc>
          <w:tcPr>
            <w:tcW w:w="1088" w:type="pct"/>
            <w:vAlign w:val="center"/>
          </w:tcPr>
          <w:p w:rsidR="00DD509A" w:rsidRPr="007370B3" w:rsidRDefault="00DD509A" w:rsidP="00DD509A">
            <w:pPr>
              <w:spacing w:line="480" w:lineRule="auto"/>
              <w:rPr>
                <w:bCs/>
                <w:szCs w:val="24"/>
              </w:rPr>
            </w:pPr>
            <w:r w:rsidRPr="007370B3">
              <w:rPr>
                <w:bCs/>
                <w:szCs w:val="24"/>
              </w:rPr>
              <w:t>100.0%</w:t>
            </w:r>
          </w:p>
        </w:tc>
        <w:tc>
          <w:tcPr>
            <w:tcW w:w="1088" w:type="pct"/>
            <w:vAlign w:val="center"/>
          </w:tcPr>
          <w:p w:rsidR="00DD509A" w:rsidRPr="007370B3" w:rsidRDefault="00DD509A" w:rsidP="00DD509A">
            <w:pPr>
              <w:spacing w:line="480" w:lineRule="auto"/>
              <w:rPr>
                <w:bCs/>
                <w:szCs w:val="24"/>
              </w:rPr>
            </w:pPr>
            <w:r w:rsidRPr="007370B3">
              <w:rPr>
                <w:bCs/>
                <w:szCs w:val="24"/>
              </w:rPr>
              <w:t>100.0%</w:t>
            </w:r>
          </w:p>
        </w:tc>
        <w:tc>
          <w:tcPr>
            <w:tcW w:w="1088" w:type="pct"/>
            <w:vAlign w:val="center"/>
          </w:tcPr>
          <w:p w:rsidR="00DD509A" w:rsidRPr="007370B3" w:rsidRDefault="00DD509A" w:rsidP="00DD509A">
            <w:pPr>
              <w:spacing w:line="480" w:lineRule="auto"/>
              <w:rPr>
                <w:bCs/>
                <w:szCs w:val="24"/>
              </w:rPr>
            </w:pPr>
            <w:r w:rsidRPr="007370B3">
              <w:rPr>
                <w:bCs/>
                <w:szCs w:val="24"/>
              </w:rPr>
              <w:t>100.0%</w:t>
            </w:r>
          </w:p>
        </w:tc>
        <w:tc>
          <w:tcPr>
            <w:tcW w:w="1087" w:type="pct"/>
            <w:vAlign w:val="center"/>
          </w:tcPr>
          <w:p w:rsidR="00DD509A" w:rsidRPr="007370B3" w:rsidRDefault="00DD509A" w:rsidP="00DD509A">
            <w:pPr>
              <w:spacing w:line="480" w:lineRule="auto"/>
              <w:rPr>
                <w:bCs/>
                <w:szCs w:val="24"/>
              </w:rPr>
            </w:pPr>
            <w:r w:rsidRPr="007370B3">
              <w:rPr>
                <w:bCs/>
                <w:szCs w:val="24"/>
              </w:rPr>
              <w:t>100.0%</w:t>
            </w:r>
          </w:p>
        </w:tc>
      </w:tr>
    </w:tbl>
    <w:p w:rsidR="00DD509A" w:rsidRPr="007370B3" w:rsidRDefault="00DD509A" w:rsidP="00DD509A">
      <w:pPr>
        <w:pStyle w:val="Paragraphbody0ident"/>
        <w:rPr>
          <w:sz w:val="24"/>
        </w:rPr>
      </w:pPr>
    </w:p>
    <w:p w:rsidR="00DD509A" w:rsidRPr="007370B3" w:rsidRDefault="00DD509A" w:rsidP="007370B3">
      <w:pPr>
        <w:pStyle w:val="Paragraphbody0ident"/>
        <w:spacing w:before="120" w:after="120"/>
        <w:rPr>
          <w:sz w:val="24"/>
        </w:rPr>
      </w:pPr>
      <w:r w:rsidRPr="007370B3">
        <w:rPr>
          <w:sz w:val="24"/>
        </w:rPr>
        <w:lastRenderedPageBreak/>
        <w:t>The analyzed sample can be characterized according to the company size or the industry branch. The company size can be expressed by taking into account owned property, achieved sales and/or number of employees. The value of owned property highly depends on which industry branch and on the level of depreciation and amortization. Although, the value of owned property and the number of the employees stay stable even when financial performance deteriorates and the company is coming closer to insolvency. However, the value of annual sales usually decreases when the enterprise is coming closer to insolvency. The sample structure, expressed by the annual sales in millions of CZK, is presented in table 1.</w:t>
      </w:r>
    </w:p>
    <w:p w:rsidR="00DD509A" w:rsidRPr="007370B3" w:rsidRDefault="00DD509A" w:rsidP="007370B3">
      <w:pPr>
        <w:pStyle w:val="Paragraphbody0ident"/>
        <w:spacing w:before="120" w:after="120"/>
        <w:ind w:firstLine="284"/>
        <w:rPr>
          <w:sz w:val="24"/>
        </w:rPr>
      </w:pPr>
      <w:r w:rsidRPr="007370B3">
        <w:rPr>
          <w:sz w:val="24"/>
        </w:rPr>
        <w:t xml:space="preserve">The highest percentage share has the group of the smallest companies with annual turnover below 50 million CZK (over 40%). The official exchange rate to euro announced on 6 August 2019 by the Czech National Bank was 25.775 CZK = 1 EURO. </w:t>
      </w:r>
      <w:proofErr w:type="gramStart"/>
      <w:r w:rsidRPr="007370B3">
        <w:rPr>
          <w:sz w:val="24"/>
        </w:rPr>
        <w:t>While 25% of the sample is created by a turnover of over 100 million CZK.</w:t>
      </w:r>
      <w:proofErr w:type="gramEnd"/>
      <w:r w:rsidRPr="007370B3">
        <w:rPr>
          <w:sz w:val="24"/>
        </w:rPr>
        <w:t xml:space="preserve"> Unexpectedly the sample does not significantly change its structure during the analyzed time period. There are some shifts between the three categories – from 50 million to 1000 million CZK. </w:t>
      </w:r>
      <w:proofErr w:type="gramStart"/>
      <w:r w:rsidRPr="007370B3">
        <w:rPr>
          <w:sz w:val="24"/>
        </w:rPr>
        <w:t>While, the prevalence of available data decreases during that time.</w:t>
      </w:r>
      <w:proofErr w:type="gramEnd"/>
      <w:r w:rsidRPr="007370B3">
        <w:rPr>
          <w:sz w:val="24"/>
        </w:rPr>
        <w:t xml:space="preserve"> Surprisingly the value of annual turnover does not decrease and the company size structure stays stable.</w:t>
      </w:r>
    </w:p>
    <w:p w:rsidR="00DD509A" w:rsidRPr="007370B3" w:rsidRDefault="00DD509A" w:rsidP="007370B3">
      <w:pPr>
        <w:pStyle w:val="Paragraphbody0ident"/>
        <w:spacing w:before="120" w:after="120"/>
        <w:ind w:firstLine="284"/>
        <w:rPr>
          <w:sz w:val="24"/>
        </w:rPr>
      </w:pPr>
      <w:r w:rsidRPr="007370B3">
        <w:rPr>
          <w:sz w:val="24"/>
        </w:rPr>
        <w:t>Almost 50% of the analyzed companies are classified by CZ-NACE as CZ-NACE C Manufacturing industry and 25% of the analyzed companies are classified as CZ-NACE F Construction industry. The remaining analyzed companies are from either the retail industry or other sectors and total 3 or less companies.</w:t>
      </w:r>
    </w:p>
    <w:p w:rsidR="00DD509A" w:rsidRPr="007370B3" w:rsidRDefault="00DD509A" w:rsidP="007370B3">
      <w:pPr>
        <w:pStyle w:val="Paragraphbody0ident"/>
        <w:spacing w:before="120" w:after="120"/>
        <w:ind w:firstLine="284"/>
        <w:rPr>
          <w:sz w:val="24"/>
        </w:rPr>
      </w:pPr>
      <w:r w:rsidRPr="007370B3">
        <w:rPr>
          <w:sz w:val="24"/>
        </w:rPr>
        <w:t>Due to the quantitative data analysis, normality was tested. Kolmogorov-Smirnov and Shapiro-Wilk tests were conducted with the result that the data does not have a normal distribution. The consequence of such a result is that any further analysis needed cannot be conducted using parametric tests because they can only be used in situations where there is a normal distribution of data. Therefore, in this case the implemented research methods will be basic descriptive statistics accompanied by relative frequencies of polarity. Relative frequencies of polarity compare positive and negative values of the chosen indicators or of key variables, which are part of these indicators. These indicators are presented in the following chapter.</w:t>
      </w:r>
    </w:p>
    <w:p w:rsidR="007370B3" w:rsidRPr="007370B3" w:rsidRDefault="007370B3" w:rsidP="00DD509A">
      <w:pPr>
        <w:pStyle w:val="Paragraphbody0ident"/>
        <w:ind w:firstLine="284"/>
        <w:rPr>
          <w:sz w:val="24"/>
        </w:rPr>
      </w:pPr>
    </w:p>
    <w:p w:rsidR="00DD509A" w:rsidRPr="007370B3" w:rsidRDefault="007370B3" w:rsidP="007370B3">
      <w:pPr>
        <w:rPr>
          <w:rFonts w:eastAsia="Arial"/>
          <w:b/>
          <w:szCs w:val="24"/>
        </w:rPr>
      </w:pPr>
      <w:r w:rsidRPr="007370B3">
        <w:rPr>
          <w:b/>
          <w:szCs w:val="24"/>
        </w:rPr>
        <w:t>2.3</w:t>
      </w:r>
      <w:r w:rsidRPr="007370B3">
        <w:rPr>
          <w:b/>
          <w:szCs w:val="24"/>
        </w:rPr>
        <w:tab/>
      </w:r>
      <w:r w:rsidR="00DD509A" w:rsidRPr="007370B3">
        <w:rPr>
          <w:b/>
          <w:szCs w:val="24"/>
        </w:rPr>
        <w:t>Financial characteristics</w:t>
      </w:r>
    </w:p>
    <w:p w:rsidR="00DD509A" w:rsidRPr="007370B3" w:rsidRDefault="00DD509A" w:rsidP="007370B3">
      <w:pPr>
        <w:pStyle w:val="Paragraphbody0ident"/>
        <w:spacing w:before="120" w:after="120"/>
        <w:rPr>
          <w:sz w:val="24"/>
        </w:rPr>
      </w:pPr>
      <w:r w:rsidRPr="007370B3">
        <w:rPr>
          <w:sz w:val="24"/>
        </w:rPr>
        <w:t>The financial situation can be evaluated by many tools and methods. The main reason this is found that financial performance is based on many factors referred by Kaplinski (2008) — such as, the company's financial structure, its financial liquidity, its solvency, its capability to adapt, its economic sources, its capability to generate profit and/or its capability to maximize its own market value.  The most popular tool of financial analysis is the method of financial ratios (</w:t>
      </w:r>
      <w:r w:rsidRPr="007370B3">
        <w:rPr>
          <w:sz w:val="24"/>
          <w:lang w:val="cs-CZ"/>
        </w:rPr>
        <w:t>Jordan, Westerfield, &amp;Ross, 2011 or Appiah, Chizema, &amp; Arthur, 2015)</w:t>
      </w:r>
      <w:r w:rsidRPr="007370B3">
        <w:rPr>
          <w:sz w:val="24"/>
        </w:rPr>
        <w:t>. There is a critique that financial ratios do not include all the relevant information and therefore some authors suggest to use market information (</w:t>
      </w:r>
      <w:r w:rsidRPr="007370B3">
        <w:rPr>
          <w:sz w:val="24"/>
          <w:lang w:val="cs-CZ"/>
        </w:rPr>
        <w:t>Balcaen</w:t>
      </w:r>
      <w:proofErr w:type="gramStart"/>
      <w:r w:rsidRPr="007370B3">
        <w:rPr>
          <w:sz w:val="24"/>
          <w:lang w:val="cs-CZ"/>
        </w:rPr>
        <w:t>,&amp;</w:t>
      </w:r>
      <w:proofErr w:type="gramEnd"/>
      <w:r w:rsidRPr="007370B3">
        <w:rPr>
          <w:sz w:val="24"/>
          <w:lang w:val="cs-CZ"/>
        </w:rPr>
        <w:t>Ooghe, 2006).</w:t>
      </w:r>
      <w:r w:rsidRPr="007370B3">
        <w:rPr>
          <w:sz w:val="24"/>
        </w:rPr>
        <w:t xml:space="preserve">  Market information can hardly be used in the Czech Republic because the capital market is not too developed and its liquidity is highly limited. None of companies included in the sample are or were publicly traded (listed). This paper's analysis is based on five ratios introduced below. These ratios have been selected by the authors based on their expert judgment and literature review containing De Laurentis, Maino, &amp;Molteni(2010), Altman, &amp; Hotchkiss (2010), Campillo, Serer, &amp; Ferrer (2013) or García Lara, Osma, &amp;Neophytou(2009). The five selected financial ratios are:</w:t>
      </w:r>
    </w:p>
    <w:p w:rsidR="00DD509A" w:rsidRPr="007370B3" w:rsidRDefault="00DD509A" w:rsidP="007370B3">
      <w:pPr>
        <w:pStyle w:val="Numberedlist"/>
        <w:spacing w:before="120" w:after="120"/>
        <w:ind w:left="511" w:hanging="227"/>
        <w:rPr>
          <w:sz w:val="24"/>
        </w:rPr>
      </w:pPr>
      <w:r w:rsidRPr="007370B3">
        <w:rPr>
          <w:sz w:val="24"/>
        </w:rPr>
        <w:lastRenderedPageBreak/>
        <w:t>EBITDA Margin presents a basic overview of a company’s performance on the operational level. It is expressed as EBITDA over sales. EBITDA is computed as a difference between sales and the cost of materials, utilities, services and labor cost.</w:t>
      </w:r>
    </w:p>
    <w:p w:rsidR="00DD509A" w:rsidRPr="007370B3" w:rsidRDefault="00DD509A" w:rsidP="007370B3">
      <w:pPr>
        <w:pStyle w:val="Numberedlist"/>
        <w:spacing w:before="120" w:after="120"/>
        <w:ind w:left="511" w:hanging="227"/>
        <w:rPr>
          <w:sz w:val="24"/>
        </w:rPr>
      </w:pPr>
      <w:r w:rsidRPr="007370B3">
        <w:rPr>
          <w:sz w:val="24"/>
        </w:rPr>
        <w:t xml:space="preserve">Cash Deficit indicator shows the level of </w:t>
      </w:r>
      <w:proofErr w:type="gramStart"/>
      <w:r w:rsidRPr="007370B3">
        <w:rPr>
          <w:sz w:val="24"/>
        </w:rPr>
        <w:t>a company</w:t>
      </w:r>
      <w:proofErr w:type="gramEnd"/>
      <w:r w:rsidRPr="007370B3">
        <w:rPr>
          <w:sz w:val="24"/>
        </w:rPr>
        <w:t xml:space="preserve">´s liquidity. It is computed as a real enterprise value of cash and its equivalents displayed in an annual balance sheet divided by the necessary operating cash and its equivalents. The necessary operating cash is expressed as 15% of a company’s current liabilities and it is derived from the general cash liquidity ratio. </w:t>
      </w:r>
    </w:p>
    <w:p w:rsidR="00DD509A" w:rsidRPr="007370B3" w:rsidRDefault="00DD509A" w:rsidP="007370B3">
      <w:pPr>
        <w:pStyle w:val="Numberedlist"/>
        <w:spacing w:before="120" w:after="120"/>
        <w:ind w:left="511" w:hanging="227"/>
        <w:rPr>
          <w:sz w:val="24"/>
        </w:rPr>
      </w:pPr>
      <w:r w:rsidRPr="007370B3">
        <w:rPr>
          <w:sz w:val="24"/>
        </w:rPr>
        <w:t xml:space="preserve">Working Capital Ratio's construction is close to liquidity ratios but it fully omits cash, banking accounts and their equivalents. The numerator contains the assets' items of working capital, specifically its inventories and receivables from selling the enterprise’s products. The denominator consists of the liabilities' items of working capital, specifically payables to suppliers and employees.  </w:t>
      </w:r>
    </w:p>
    <w:p w:rsidR="00DD509A" w:rsidRPr="007370B3" w:rsidRDefault="00DD509A" w:rsidP="007370B3">
      <w:pPr>
        <w:pStyle w:val="Numberedlist"/>
        <w:spacing w:before="120" w:after="120"/>
        <w:ind w:left="511" w:hanging="227"/>
        <w:rPr>
          <w:sz w:val="24"/>
        </w:rPr>
      </w:pPr>
      <w:r w:rsidRPr="007370B3">
        <w:rPr>
          <w:sz w:val="24"/>
        </w:rPr>
        <w:t>Debt Ratio is an indicator which is focused on enterprise leverage. It is computed as total liabilities divided by total assets (which are financed by liabilities or equity).</w:t>
      </w:r>
    </w:p>
    <w:p w:rsidR="00DD509A" w:rsidRPr="007370B3" w:rsidRDefault="00DD509A" w:rsidP="007370B3">
      <w:pPr>
        <w:pStyle w:val="Numberedlist"/>
        <w:spacing w:before="120" w:after="120"/>
        <w:ind w:left="511" w:hanging="227"/>
        <w:rPr>
          <w:sz w:val="24"/>
        </w:rPr>
      </w:pPr>
      <w:r w:rsidRPr="007370B3">
        <w:rPr>
          <w:sz w:val="24"/>
        </w:rPr>
        <w:t>Indicator ROA (Return on Assets) is expressed in this paper as the division of EBITDA by total assets to show the general operating effectiveness.</w:t>
      </w:r>
    </w:p>
    <w:p w:rsidR="00DD509A" w:rsidRPr="007370B3" w:rsidRDefault="00DD509A" w:rsidP="007370B3">
      <w:pPr>
        <w:pStyle w:val="Paragraphbody0ident"/>
        <w:spacing w:before="120" w:after="120"/>
        <w:ind w:firstLine="284"/>
        <w:rPr>
          <w:sz w:val="24"/>
        </w:rPr>
      </w:pPr>
      <w:r w:rsidRPr="007370B3">
        <w:rPr>
          <w:sz w:val="24"/>
        </w:rPr>
        <w:t xml:space="preserve">It should be noted that although the indicators above offer valuable tools of assessment, they cannot provide the best values due to the relative trade off effects. The consequence of which is that the final values of these indicators must be balanced. One solution offered is synthetic measures which are able to manage the related trade off effects. In situations where the conditions for the company are fiscally poor, the use of default indicators, such as bankruptcy models, are used and they combine several financial indicators focused on different financial health issues. The default models were constructed as a result of empirical observations and they work based on probabilities (De Laurentis, Maino, &amp;Molteni, 2010). The oldest complex model was first published in 1968 and called the Altman Z-Score (Altman, 1968).  It is worldwide and the most known model.  It still remains highly accurate in its predictions in the Czech Republic, see Čámská (2016) or Karas, &amp;Režňáková (2015).   This paper will be based on the Altman version for the enterprises not publicly traded. The analysis is based on version of Altman Z-Score mentioned in Altman, &amp; Hotchkiss (2010) and it is presented by equation 1 below.  </w:t>
      </w:r>
    </w:p>
    <w:p w:rsidR="00DD509A" w:rsidRPr="007370B3" w:rsidRDefault="00DD509A" w:rsidP="00DD509A">
      <w:pPr>
        <w:pStyle w:val="Displayedequation"/>
        <w:jc w:val="center"/>
        <w:rPr>
          <w:sz w:val="24"/>
          <w:lang w:val="cs-CZ" w:eastAsia="cs-CZ"/>
        </w:rPr>
      </w:pPr>
      <w:r w:rsidRPr="007370B3">
        <w:rPr>
          <w:position w:val="-48"/>
          <w:sz w:val="24"/>
          <w:lang w:eastAsia="cs-CZ"/>
        </w:rPr>
        <w:object w:dxaOrig="34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65pt;height:53.8pt" o:ole="">
            <v:imagedata r:id="rId26" o:title=""/>
          </v:shape>
          <o:OLEObject Type="Embed" ProgID="Equation.3" ShapeID="_x0000_i1025" DrawAspect="Content" ObjectID="_1648164286" r:id="rId27"/>
        </w:object>
      </w:r>
      <w:proofErr w:type="gramStart"/>
      <w:r w:rsidRPr="007370B3">
        <w:rPr>
          <w:sz w:val="24"/>
          <w:lang w:eastAsia="cs-CZ"/>
        </w:rPr>
        <w:t>,</w:t>
      </w:r>
      <w:r w:rsidRPr="007370B3">
        <w:rPr>
          <w:sz w:val="24"/>
          <w:lang w:val="cs-CZ" w:eastAsia="cs-CZ"/>
        </w:rPr>
        <w:t>(</w:t>
      </w:r>
      <w:proofErr w:type="gramEnd"/>
      <w:r w:rsidRPr="007370B3">
        <w:rPr>
          <w:sz w:val="24"/>
          <w:lang w:val="cs-CZ" w:eastAsia="cs-CZ"/>
        </w:rPr>
        <w:t>1)</w:t>
      </w:r>
    </w:p>
    <w:p w:rsidR="00DD509A" w:rsidRPr="007370B3" w:rsidRDefault="00DD509A" w:rsidP="007370B3">
      <w:pPr>
        <w:pStyle w:val="Paragraphbody0ident"/>
        <w:spacing w:before="120" w:after="120"/>
        <w:rPr>
          <w:sz w:val="24"/>
        </w:rPr>
      </w:pPr>
      <w:proofErr w:type="gramStart"/>
      <w:r w:rsidRPr="007370B3">
        <w:rPr>
          <w:sz w:val="24"/>
        </w:rPr>
        <w:t>where</w:t>
      </w:r>
      <w:proofErr w:type="gramEnd"/>
    </w:p>
    <w:p w:rsidR="00DD509A" w:rsidRPr="007370B3" w:rsidRDefault="00DD509A" w:rsidP="007370B3">
      <w:pPr>
        <w:pStyle w:val="Paragraphbody0ident"/>
        <w:spacing w:before="120" w:after="120"/>
        <w:rPr>
          <w:sz w:val="24"/>
        </w:rPr>
      </w:pPr>
      <w:r w:rsidRPr="007370B3">
        <w:rPr>
          <w:sz w:val="24"/>
        </w:rPr>
        <w:t>NWC</w:t>
      </w:r>
      <w:r w:rsidRPr="007370B3">
        <w:rPr>
          <w:sz w:val="24"/>
        </w:rPr>
        <w:tab/>
        <w:t>Net Working Capital,</w:t>
      </w:r>
    </w:p>
    <w:p w:rsidR="00DD509A" w:rsidRPr="007370B3" w:rsidRDefault="00DD509A" w:rsidP="007370B3">
      <w:pPr>
        <w:pStyle w:val="Paragraphbody0ident"/>
        <w:spacing w:before="120" w:after="120"/>
        <w:rPr>
          <w:sz w:val="24"/>
        </w:rPr>
      </w:pPr>
      <w:r w:rsidRPr="007370B3">
        <w:rPr>
          <w:sz w:val="24"/>
        </w:rPr>
        <w:t>A</w:t>
      </w:r>
      <w:r w:rsidRPr="007370B3">
        <w:rPr>
          <w:sz w:val="24"/>
        </w:rPr>
        <w:tab/>
        <w:t>Assets,</w:t>
      </w:r>
    </w:p>
    <w:p w:rsidR="00DD509A" w:rsidRPr="007370B3" w:rsidRDefault="00DD509A" w:rsidP="007370B3">
      <w:pPr>
        <w:pStyle w:val="Paragraphbody0ident"/>
        <w:spacing w:before="120" w:after="120"/>
        <w:rPr>
          <w:sz w:val="24"/>
        </w:rPr>
      </w:pPr>
      <w:r w:rsidRPr="007370B3">
        <w:rPr>
          <w:sz w:val="24"/>
        </w:rPr>
        <w:t>RE</w:t>
      </w:r>
      <w:r w:rsidRPr="007370B3">
        <w:rPr>
          <w:sz w:val="24"/>
        </w:rPr>
        <w:tab/>
        <w:t>Retained Earnings,</w:t>
      </w:r>
    </w:p>
    <w:p w:rsidR="00DD509A" w:rsidRPr="007370B3" w:rsidRDefault="00DD509A" w:rsidP="007370B3">
      <w:pPr>
        <w:pStyle w:val="Paragraphbody0ident"/>
        <w:spacing w:before="120" w:after="120"/>
        <w:rPr>
          <w:sz w:val="24"/>
        </w:rPr>
      </w:pPr>
      <w:r w:rsidRPr="007370B3">
        <w:rPr>
          <w:sz w:val="24"/>
        </w:rPr>
        <w:t>EBIT</w:t>
      </w:r>
      <w:r w:rsidRPr="007370B3">
        <w:rPr>
          <w:sz w:val="24"/>
        </w:rPr>
        <w:tab/>
        <w:t>Earning before Interests and Taxes,</w:t>
      </w:r>
    </w:p>
    <w:p w:rsidR="00DD509A" w:rsidRPr="007370B3" w:rsidRDefault="00DD509A" w:rsidP="007370B3">
      <w:pPr>
        <w:pStyle w:val="Paragraphbody0ident"/>
        <w:spacing w:before="120" w:after="120"/>
        <w:rPr>
          <w:sz w:val="24"/>
        </w:rPr>
      </w:pPr>
      <w:r w:rsidRPr="007370B3">
        <w:rPr>
          <w:sz w:val="24"/>
        </w:rPr>
        <w:t>E</w:t>
      </w:r>
      <w:r w:rsidRPr="007370B3">
        <w:rPr>
          <w:sz w:val="24"/>
        </w:rPr>
        <w:tab/>
        <w:t>Equity in accounting value,</w:t>
      </w:r>
    </w:p>
    <w:p w:rsidR="00DD509A" w:rsidRPr="007370B3" w:rsidRDefault="00DD509A" w:rsidP="007370B3">
      <w:pPr>
        <w:pStyle w:val="Paragraphbody0ident"/>
        <w:spacing w:before="120" w:after="120"/>
        <w:rPr>
          <w:sz w:val="24"/>
        </w:rPr>
      </w:pPr>
      <w:r w:rsidRPr="007370B3">
        <w:rPr>
          <w:sz w:val="24"/>
        </w:rPr>
        <w:t>L</w:t>
      </w:r>
      <w:r w:rsidRPr="007370B3">
        <w:rPr>
          <w:sz w:val="24"/>
        </w:rPr>
        <w:tab/>
        <w:t>Liabilities,</w:t>
      </w:r>
    </w:p>
    <w:p w:rsidR="00DD509A" w:rsidRPr="007370B3" w:rsidRDefault="00DD509A" w:rsidP="007370B3">
      <w:pPr>
        <w:pStyle w:val="Paragraphbody0ident"/>
        <w:spacing w:before="120" w:after="120"/>
        <w:rPr>
          <w:sz w:val="24"/>
        </w:rPr>
      </w:pPr>
      <w:proofErr w:type="gramStart"/>
      <w:r w:rsidRPr="007370B3">
        <w:rPr>
          <w:sz w:val="24"/>
        </w:rPr>
        <w:t xml:space="preserve">S </w:t>
      </w:r>
      <w:r w:rsidRPr="007370B3">
        <w:rPr>
          <w:sz w:val="24"/>
        </w:rPr>
        <w:tab/>
        <w:t>Sales.</w:t>
      </w:r>
      <w:proofErr w:type="gramEnd"/>
    </w:p>
    <w:p w:rsidR="00DD509A" w:rsidRPr="007370B3" w:rsidRDefault="00DD509A" w:rsidP="007370B3">
      <w:pPr>
        <w:pStyle w:val="Paragraphbody0ident"/>
        <w:spacing w:before="120" w:after="120"/>
        <w:ind w:firstLine="284"/>
        <w:rPr>
          <w:sz w:val="24"/>
        </w:rPr>
      </w:pPr>
      <w:r w:rsidRPr="007370B3">
        <w:rPr>
          <w:sz w:val="24"/>
        </w:rPr>
        <w:t>The computed value of the equation is compared with the evaluation ranges. According to Altman, &amp; Hotchkiss (2010) healthy enterprises have Z-Score higher than 2.9, grey zone is between 1.23 – 2.9 and unhealthy enterprises' Z-Score is below 1.23.</w:t>
      </w:r>
    </w:p>
    <w:p w:rsidR="00DD509A" w:rsidRPr="007370B3" w:rsidRDefault="00DD509A" w:rsidP="00DD509A">
      <w:pPr>
        <w:pStyle w:val="Paragraphbody0ident"/>
        <w:ind w:firstLine="284"/>
        <w:rPr>
          <w:sz w:val="24"/>
        </w:rPr>
      </w:pPr>
    </w:p>
    <w:p w:rsidR="00DD509A" w:rsidRPr="007370B3" w:rsidRDefault="00DD509A" w:rsidP="007370B3">
      <w:pPr>
        <w:rPr>
          <w:b/>
          <w:szCs w:val="24"/>
        </w:rPr>
      </w:pPr>
      <w:r w:rsidRPr="007370B3">
        <w:rPr>
          <w:b/>
          <w:szCs w:val="24"/>
        </w:rPr>
        <w:t>3. Results</w:t>
      </w:r>
    </w:p>
    <w:p w:rsidR="00DD509A" w:rsidRDefault="00DD509A" w:rsidP="00DD509A">
      <w:pPr>
        <w:pStyle w:val="Paragraphbody0ident"/>
        <w:rPr>
          <w:sz w:val="24"/>
        </w:rPr>
      </w:pPr>
      <w:r w:rsidRPr="007370B3">
        <w:rPr>
          <w:sz w:val="24"/>
        </w:rPr>
        <w:t>This chapter introduces results gained which describe the financial situation. First, the analysis is focused on the basic descriptive statistics of the five selected financial ratios which describe the enterprise’s financial situation from the different perspectives. The results are in table 2 below.</w:t>
      </w:r>
    </w:p>
    <w:p w:rsidR="007370B3" w:rsidRPr="007370B3" w:rsidRDefault="007370B3" w:rsidP="00DD509A">
      <w:pPr>
        <w:pStyle w:val="Paragraphbody0ident"/>
        <w:rPr>
          <w:sz w:val="24"/>
        </w:rPr>
      </w:pPr>
    </w:p>
    <w:p w:rsidR="00DD509A" w:rsidRPr="007370B3" w:rsidRDefault="00DD509A" w:rsidP="00DD509A">
      <w:pPr>
        <w:pStyle w:val="Tabletitle"/>
        <w:rPr>
          <w:sz w:val="24"/>
        </w:rPr>
      </w:pPr>
      <w:proofErr w:type="gramStart"/>
      <w:r w:rsidRPr="007370B3">
        <w:rPr>
          <w:sz w:val="24"/>
        </w:rPr>
        <w:t>Table 2.</w:t>
      </w:r>
      <w:proofErr w:type="gramEnd"/>
      <w:r w:rsidRPr="007370B3">
        <w:rPr>
          <w:sz w:val="24"/>
        </w:rPr>
        <w:t xml:space="preserve"> Mean and median of chosen </w:t>
      </w:r>
      <w:proofErr w:type="gramStart"/>
      <w:r w:rsidRPr="007370B3">
        <w:rPr>
          <w:sz w:val="24"/>
        </w:rPr>
        <w:t>ratios</w:t>
      </w:r>
      <w:proofErr w:type="gramEnd"/>
      <w:r w:rsidRPr="007370B3">
        <w:rPr>
          <w:sz w:val="24"/>
        </w:rPr>
        <w:br/>
        <w:t>(source: author based on Bisnode Magnusweb)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099"/>
        <w:gridCol w:w="1691"/>
        <w:gridCol w:w="1113"/>
        <w:gridCol w:w="1419"/>
        <w:gridCol w:w="906"/>
        <w:gridCol w:w="854"/>
      </w:tblGrid>
      <w:tr w:rsidR="00DD509A" w:rsidRPr="007370B3" w:rsidTr="00DD509A">
        <w:trPr>
          <w:trHeight w:val="346"/>
          <w:jc w:val="center"/>
        </w:trPr>
        <w:tc>
          <w:tcPr>
            <w:tcW w:w="1706" w:type="pct"/>
            <w:vAlign w:val="bottom"/>
          </w:tcPr>
          <w:p w:rsidR="00DD509A" w:rsidRPr="007370B3" w:rsidRDefault="00DD509A" w:rsidP="00DD509A">
            <w:pPr>
              <w:spacing w:line="480" w:lineRule="auto"/>
              <w:jc w:val="center"/>
              <w:rPr>
                <w:szCs w:val="24"/>
                <w:lang w:eastAsia="cs-CZ"/>
              </w:rPr>
            </w:pPr>
          </w:p>
        </w:tc>
        <w:tc>
          <w:tcPr>
            <w:tcW w:w="931" w:type="pct"/>
            <w:vAlign w:val="center"/>
          </w:tcPr>
          <w:p w:rsidR="00DD509A" w:rsidRPr="007370B3" w:rsidRDefault="00DD509A" w:rsidP="00DD509A">
            <w:pPr>
              <w:spacing w:line="480" w:lineRule="auto"/>
              <w:jc w:val="center"/>
              <w:rPr>
                <w:szCs w:val="24"/>
                <w:lang w:eastAsia="cs-CZ"/>
              </w:rPr>
            </w:pPr>
            <w:r w:rsidRPr="007370B3">
              <w:rPr>
                <w:szCs w:val="24"/>
                <w:lang w:eastAsia="cs-CZ"/>
              </w:rPr>
              <w:t xml:space="preserve">EBITDA </w:t>
            </w:r>
          </w:p>
          <w:p w:rsidR="00DD509A" w:rsidRPr="007370B3" w:rsidRDefault="00DD509A" w:rsidP="00DD509A">
            <w:pPr>
              <w:spacing w:line="480" w:lineRule="auto"/>
              <w:jc w:val="center"/>
              <w:rPr>
                <w:szCs w:val="24"/>
                <w:lang w:eastAsia="cs-CZ"/>
              </w:rPr>
            </w:pPr>
            <w:r w:rsidRPr="007370B3">
              <w:rPr>
                <w:szCs w:val="24"/>
                <w:lang w:eastAsia="cs-CZ"/>
              </w:rPr>
              <w:t>Margin</w:t>
            </w:r>
          </w:p>
        </w:tc>
        <w:tc>
          <w:tcPr>
            <w:tcW w:w="613" w:type="pct"/>
            <w:vAlign w:val="center"/>
          </w:tcPr>
          <w:p w:rsidR="00DD509A" w:rsidRPr="007370B3" w:rsidRDefault="00DD509A" w:rsidP="00DD509A">
            <w:pPr>
              <w:spacing w:line="480" w:lineRule="auto"/>
              <w:jc w:val="center"/>
              <w:rPr>
                <w:szCs w:val="24"/>
                <w:lang w:eastAsia="cs-CZ"/>
              </w:rPr>
            </w:pPr>
            <w:r w:rsidRPr="007370B3">
              <w:rPr>
                <w:szCs w:val="24"/>
                <w:lang w:eastAsia="cs-CZ"/>
              </w:rPr>
              <w:t xml:space="preserve">Cash </w:t>
            </w:r>
          </w:p>
          <w:p w:rsidR="00DD509A" w:rsidRPr="007370B3" w:rsidRDefault="00DD509A" w:rsidP="00DD509A">
            <w:pPr>
              <w:spacing w:line="480" w:lineRule="auto"/>
              <w:jc w:val="center"/>
              <w:rPr>
                <w:szCs w:val="24"/>
                <w:lang w:eastAsia="cs-CZ"/>
              </w:rPr>
            </w:pPr>
            <w:r w:rsidRPr="007370B3">
              <w:rPr>
                <w:szCs w:val="24"/>
                <w:lang w:eastAsia="cs-CZ"/>
              </w:rPr>
              <w:t>Deficit</w:t>
            </w:r>
          </w:p>
        </w:tc>
        <w:tc>
          <w:tcPr>
            <w:tcW w:w="781" w:type="pct"/>
            <w:vAlign w:val="center"/>
          </w:tcPr>
          <w:p w:rsidR="00DD509A" w:rsidRPr="007370B3" w:rsidRDefault="00DD509A" w:rsidP="00DD509A">
            <w:pPr>
              <w:spacing w:line="480" w:lineRule="auto"/>
              <w:jc w:val="center"/>
              <w:rPr>
                <w:szCs w:val="24"/>
                <w:lang w:eastAsia="cs-CZ"/>
              </w:rPr>
            </w:pPr>
            <w:r w:rsidRPr="007370B3">
              <w:rPr>
                <w:szCs w:val="24"/>
                <w:lang w:eastAsia="cs-CZ"/>
              </w:rPr>
              <w:t xml:space="preserve">Working </w:t>
            </w:r>
          </w:p>
          <w:p w:rsidR="00DD509A" w:rsidRPr="007370B3" w:rsidRDefault="00DD509A" w:rsidP="00DD509A">
            <w:pPr>
              <w:spacing w:line="480" w:lineRule="auto"/>
              <w:jc w:val="center"/>
              <w:rPr>
                <w:szCs w:val="24"/>
                <w:lang w:eastAsia="cs-CZ"/>
              </w:rPr>
            </w:pPr>
            <w:r w:rsidRPr="007370B3">
              <w:rPr>
                <w:szCs w:val="24"/>
                <w:lang w:eastAsia="cs-CZ"/>
              </w:rPr>
              <w:t xml:space="preserve">Capital </w:t>
            </w:r>
          </w:p>
          <w:p w:rsidR="00DD509A" w:rsidRPr="007370B3" w:rsidRDefault="00DD509A" w:rsidP="00DD509A">
            <w:pPr>
              <w:spacing w:line="480" w:lineRule="auto"/>
              <w:jc w:val="center"/>
              <w:rPr>
                <w:szCs w:val="24"/>
                <w:lang w:eastAsia="cs-CZ"/>
              </w:rPr>
            </w:pPr>
            <w:r w:rsidRPr="007370B3">
              <w:rPr>
                <w:szCs w:val="24"/>
                <w:lang w:eastAsia="cs-CZ"/>
              </w:rPr>
              <w:t>Ratio</w:t>
            </w:r>
          </w:p>
        </w:tc>
        <w:tc>
          <w:tcPr>
            <w:tcW w:w="499" w:type="pct"/>
            <w:vAlign w:val="center"/>
          </w:tcPr>
          <w:p w:rsidR="00DD509A" w:rsidRPr="007370B3" w:rsidRDefault="00DD509A" w:rsidP="00DD509A">
            <w:pPr>
              <w:spacing w:line="480" w:lineRule="auto"/>
              <w:jc w:val="center"/>
              <w:rPr>
                <w:szCs w:val="24"/>
                <w:lang w:eastAsia="cs-CZ"/>
              </w:rPr>
            </w:pPr>
            <w:r w:rsidRPr="007370B3">
              <w:rPr>
                <w:szCs w:val="24"/>
                <w:lang w:eastAsia="cs-CZ"/>
              </w:rPr>
              <w:t xml:space="preserve">Debt </w:t>
            </w:r>
          </w:p>
          <w:p w:rsidR="00DD509A" w:rsidRPr="007370B3" w:rsidRDefault="00DD509A" w:rsidP="00DD509A">
            <w:pPr>
              <w:spacing w:line="480" w:lineRule="auto"/>
              <w:jc w:val="center"/>
              <w:rPr>
                <w:szCs w:val="24"/>
                <w:lang w:eastAsia="cs-CZ"/>
              </w:rPr>
            </w:pPr>
            <w:r w:rsidRPr="007370B3">
              <w:rPr>
                <w:szCs w:val="24"/>
                <w:lang w:eastAsia="cs-CZ"/>
              </w:rPr>
              <w:t>Ratio</w:t>
            </w:r>
          </w:p>
        </w:tc>
        <w:tc>
          <w:tcPr>
            <w:tcW w:w="470" w:type="pct"/>
            <w:vAlign w:val="center"/>
          </w:tcPr>
          <w:p w:rsidR="00DD509A" w:rsidRPr="007370B3" w:rsidRDefault="00DD509A" w:rsidP="00DD509A">
            <w:pPr>
              <w:spacing w:line="480" w:lineRule="auto"/>
              <w:jc w:val="center"/>
              <w:rPr>
                <w:szCs w:val="24"/>
                <w:lang w:eastAsia="cs-CZ"/>
              </w:rPr>
            </w:pPr>
            <w:r w:rsidRPr="007370B3">
              <w:rPr>
                <w:szCs w:val="24"/>
                <w:lang w:eastAsia="cs-CZ"/>
              </w:rPr>
              <w:t>ROA</w:t>
            </w:r>
          </w:p>
        </w:tc>
      </w:tr>
      <w:tr w:rsidR="00DD509A" w:rsidRPr="007370B3" w:rsidTr="00DD509A">
        <w:trPr>
          <w:trHeight w:val="346"/>
          <w:jc w:val="center"/>
        </w:trPr>
        <w:tc>
          <w:tcPr>
            <w:tcW w:w="1706" w:type="pct"/>
          </w:tcPr>
          <w:p w:rsidR="00DD509A" w:rsidRPr="007370B3" w:rsidRDefault="00DD509A" w:rsidP="00DD509A">
            <w:pPr>
              <w:spacing w:line="480" w:lineRule="auto"/>
              <w:rPr>
                <w:szCs w:val="24"/>
                <w:lang w:eastAsia="cs-CZ"/>
              </w:rPr>
            </w:pPr>
            <w:r w:rsidRPr="007370B3">
              <w:rPr>
                <w:szCs w:val="24"/>
                <w:lang w:eastAsia="cs-CZ"/>
              </w:rPr>
              <w:t>Mean</w:t>
            </w:r>
          </w:p>
        </w:tc>
        <w:tc>
          <w:tcPr>
            <w:tcW w:w="931" w:type="pct"/>
          </w:tcPr>
          <w:p w:rsidR="00DD509A" w:rsidRPr="007370B3" w:rsidRDefault="00DD509A" w:rsidP="00DD509A">
            <w:pPr>
              <w:spacing w:line="480" w:lineRule="auto"/>
              <w:rPr>
                <w:szCs w:val="24"/>
              </w:rPr>
            </w:pPr>
            <w:r w:rsidRPr="007370B3">
              <w:rPr>
                <w:szCs w:val="24"/>
              </w:rPr>
              <w:t>-54.64</w:t>
            </w:r>
          </w:p>
        </w:tc>
        <w:tc>
          <w:tcPr>
            <w:tcW w:w="613" w:type="pct"/>
          </w:tcPr>
          <w:p w:rsidR="00DD509A" w:rsidRPr="007370B3" w:rsidRDefault="00DD509A" w:rsidP="00DD509A">
            <w:pPr>
              <w:spacing w:line="480" w:lineRule="auto"/>
              <w:rPr>
                <w:szCs w:val="24"/>
              </w:rPr>
            </w:pPr>
            <w:r w:rsidRPr="007370B3">
              <w:rPr>
                <w:szCs w:val="24"/>
              </w:rPr>
              <w:t>0.89</w:t>
            </w:r>
          </w:p>
        </w:tc>
        <w:tc>
          <w:tcPr>
            <w:tcW w:w="781" w:type="pct"/>
          </w:tcPr>
          <w:p w:rsidR="00DD509A" w:rsidRPr="007370B3" w:rsidRDefault="00DD509A" w:rsidP="00DD509A">
            <w:pPr>
              <w:spacing w:line="480" w:lineRule="auto"/>
              <w:rPr>
                <w:szCs w:val="24"/>
              </w:rPr>
            </w:pPr>
            <w:r w:rsidRPr="007370B3">
              <w:rPr>
                <w:szCs w:val="24"/>
              </w:rPr>
              <w:t>5.01</w:t>
            </w:r>
          </w:p>
        </w:tc>
        <w:tc>
          <w:tcPr>
            <w:tcW w:w="499" w:type="pct"/>
          </w:tcPr>
          <w:p w:rsidR="00DD509A" w:rsidRPr="007370B3" w:rsidRDefault="00DD509A" w:rsidP="00DD509A">
            <w:pPr>
              <w:spacing w:line="480" w:lineRule="auto"/>
              <w:rPr>
                <w:szCs w:val="24"/>
              </w:rPr>
            </w:pPr>
            <w:r w:rsidRPr="007370B3">
              <w:rPr>
                <w:szCs w:val="24"/>
              </w:rPr>
              <w:t>1.76</w:t>
            </w:r>
          </w:p>
        </w:tc>
        <w:tc>
          <w:tcPr>
            <w:tcW w:w="470" w:type="pct"/>
          </w:tcPr>
          <w:p w:rsidR="00DD509A" w:rsidRPr="007370B3" w:rsidRDefault="00DD509A" w:rsidP="00DD509A">
            <w:pPr>
              <w:spacing w:line="480" w:lineRule="auto"/>
              <w:rPr>
                <w:szCs w:val="24"/>
              </w:rPr>
            </w:pPr>
            <w:r w:rsidRPr="007370B3">
              <w:rPr>
                <w:szCs w:val="24"/>
              </w:rPr>
              <w:t>-0.09</w:t>
            </w:r>
          </w:p>
        </w:tc>
      </w:tr>
      <w:tr w:rsidR="00DD509A" w:rsidRPr="007370B3" w:rsidTr="00DD509A">
        <w:trPr>
          <w:trHeight w:val="346"/>
          <w:jc w:val="center"/>
        </w:trPr>
        <w:tc>
          <w:tcPr>
            <w:tcW w:w="1706" w:type="pct"/>
          </w:tcPr>
          <w:p w:rsidR="00DD509A" w:rsidRPr="007370B3" w:rsidRDefault="00DD509A" w:rsidP="00DD509A">
            <w:pPr>
              <w:spacing w:line="480" w:lineRule="auto"/>
              <w:rPr>
                <w:szCs w:val="24"/>
                <w:lang w:eastAsia="cs-CZ"/>
              </w:rPr>
            </w:pPr>
            <w:r w:rsidRPr="007370B3">
              <w:rPr>
                <w:szCs w:val="24"/>
                <w:lang w:eastAsia="cs-CZ"/>
              </w:rPr>
              <w:t>5% Trimmed Mean</w:t>
            </w:r>
          </w:p>
        </w:tc>
        <w:tc>
          <w:tcPr>
            <w:tcW w:w="931" w:type="pct"/>
          </w:tcPr>
          <w:p w:rsidR="00DD509A" w:rsidRPr="007370B3" w:rsidRDefault="00DD509A" w:rsidP="00DD509A">
            <w:pPr>
              <w:spacing w:line="480" w:lineRule="auto"/>
              <w:rPr>
                <w:szCs w:val="24"/>
              </w:rPr>
            </w:pPr>
            <w:r w:rsidRPr="007370B3">
              <w:rPr>
                <w:szCs w:val="24"/>
              </w:rPr>
              <w:t>-0.29</w:t>
            </w:r>
          </w:p>
        </w:tc>
        <w:tc>
          <w:tcPr>
            <w:tcW w:w="613" w:type="pct"/>
          </w:tcPr>
          <w:p w:rsidR="00DD509A" w:rsidRPr="007370B3" w:rsidRDefault="00DD509A" w:rsidP="00DD509A">
            <w:pPr>
              <w:spacing w:line="480" w:lineRule="auto"/>
              <w:rPr>
                <w:szCs w:val="24"/>
              </w:rPr>
            </w:pPr>
            <w:r w:rsidRPr="007370B3">
              <w:rPr>
                <w:szCs w:val="24"/>
              </w:rPr>
              <w:t>0.49</w:t>
            </w:r>
          </w:p>
        </w:tc>
        <w:tc>
          <w:tcPr>
            <w:tcW w:w="781" w:type="pct"/>
          </w:tcPr>
          <w:p w:rsidR="00DD509A" w:rsidRPr="007370B3" w:rsidRDefault="00DD509A" w:rsidP="00DD509A">
            <w:pPr>
              <w:spacing w:line="480" w:lineRule="auto"/>
              <w:rPr>
                <w:szCs w:val="24"/>
              </w:rPr>
            </w:pPr>
            <w:r w:rsidRPr="007370B3">
              <w:rPr>
                <w:szCs w:val="24"/>
              </w:rPr>
              <w:t>1.28</w:t>
            </w:r>
          </w:p>
        </w:tc>
        <w:tc>
          <w:tcPr>
            <w:tcW w:w="499" w:type="pct"/>
          </w:tcPr>
          <w:p w:rsidR="00DD509A" w:rsidRPr="007370B3" w:rsidRDefault="00DD509A" w:rsidP="00DD509A">
            <w:pPr>
              <w:spacing w:line="480" w:lineRule="auto"/>
              <w:rPr>
                <w:szCs w:val="24"/>
              </w:rPr>
            </w:pPr>
            <w:r w:rsidRPr="007370B3">
              <w:rPr>
                <w:szCs w:val="24"/>
              </w:rPr>
              <w:t>1.14</w:t>
            </w:r>
          </w:p>
        </w:tc>
        <w:tc>
          <w:tcPr>
            <w:tcW w:w="470" w:type="pct"/>
          </w:tcPr>
          <w:p w:rsidR="00DD509A" w:rsidRPr="007370B3" w:rsidRDefault="00DD509A" w:rsidP="00DD509A">
            <w:pPr>
              <w:spacing w:line="480" w:lineRule="auto"/>
              <w:rPr>
                <w:szCs w:val="24"/>
              </w:rPr>
            </w:pPr>
            <w:r w:rsidRPr="007370B3">
              <w:rPr>
                <w:szCs w:val="24"/>
              </w:rPr>
              <w:t>-0.06</w:t>
            </w:r>
          </w:p>
        </w:tc>
      </w:tr>
      <w:tr w:rsidR="00DD509A" w:rsidRPr="007370B3" w:rsidTr="00DD509A">
        <w:trPr>
          <w:trHeight w:val="346"/>
          <w:jc w:val="center"/>
        </w:trPr>
        <w:tc>
          <w:tcPr>
            <w:tcW w:w="1706" w:type="pct"/>
          </w:tcPr>
          <w:p w:rsidR="00DD509A" w:rsidRPr="007370B3" w:rsidRDefault="00DD509A" w:rsidP="00DD509A">
            <w:pPr>
              <w:spacing w:line="480" w:lineRule="auto"/>
              <w:rPr>
                <w:szCs w:val="24"/>
                <w:lang w:eastAsia="cs-CZ"/>
              </w:rPr>
            </w:pPr>
            <w:r w:rsidRPr="007370B3">
              <w:rPr>
                <w:szCs w:val="24"/>
                <w:lang w:eastAsia="cs-CZ"/>
              </w:rPr>
              <w:t>Median</w:t>
            </w:r>
          </w:p>
        </w:tc>
        <w:tc>
          <w:tcPr>
            <w:tcW w:w="931" w:type="pct"/>
          </w:tcPr>
          <w:p w:rsidR="00DD509A" w:rsidRPr="007370B3" w:rsidRDefault="00DD509A" w:rsidP="00DD509A">
            <w:pPr>
              <w:spacing w:line="480" w:lineRule="auto"/>
              <w:rPr>
                <w:szCs w:val="24"/>
              </w:rPr>
            </w:pPr>
            <w:r w:rsidRPr="007370B3">
              <w:rPr>
                <w:szCs w:val="24"/>
              </w:rPr>
              <w:t>-0.04</w:t>
            </w:r>
          </w:p>
        </w:tc>
        <w:tc>
          <w:tcPr>
            <w:tcW w:w="613" w:type="pct"/>
          </w:tcPr>
          <w:p w:rsidR="00DD509A" w:rsidRPr="007370B3" w:rsidRDefault="00DD509A" w:rsidP="00DD509A">
            <w:pPr>
              <w:spacing w:line="480" w:lineRule="auto"/>
              <w:rPr>
                <w:szCs w:val="24"/>
              </w:rPr>
            </w:pPr>
            <w:r w:rsidRPr="007370B3">
              <w:rPr>
                <w:szCs w:val="24"/>
              </w:rPr>
              <w:t>0.16</w:t>
            </w:r>
          </w:p>
        </w:tc>
        <w:tc>
          <w:tcPr>
            <w:tcW w:w="781" w:type="pct"/>
          </w:tcPr>
          <w:p w:rsidR="00DD509A" w:rsidRPr="007370B3" w:rsidRDefault="00DD509A" w:rsidP="00DD509A">
            <w:pPr>
              <w:spacing w:line="480" w:lineRule="auto"/>
              <w:rPr>
                <w:szCs w:val="24"/>
              </w:rPr>
            </w:pPr>
            <w:r w:rsidRPr="007370B3">
              <w:rPr>
                <w:szCs w:val="24"/>
              </w:rPr>
              <w:t>0.95</w:t>
            </w:r>
          </w:p>
        </w:tc>
        <w:tc>
          <w:tcPr>
            <w:tcW w:w="499" w:type="pct"/>
          </w:tcPr>
          <w:p w:rsidR="00DD509A" w:rsidRPr="007370B3" w:rsidRDefault="00DD509A" w:rsidP="00DD509A">
            <w:pPr>
              <w:spacing w:line="480" w:lineRule="auto"/>
              <w:rPr>
                <w:szCs w:val="24"/>
              </w:rPr>
            </w:pPr>
            <w:r w:rsidRPr="007370B3">
              <w:rPr>
                <w:szCs w:val="24"/>
              </w:rPr>
              <w:t>0.98</w:t>
            </w:r>
          </w:p>
        </w:tc>
        <w:tc>
          <w:tcPr>
            <w:tcW w:w="470" w:type="pct"/>
          </w:tcPr>
          <w:p w:rsidR="00DD509A" w:rsidRPr="007370B3" w:rsidRDefault="00DD509A" w:rsidP="00DD509A">
            <w:pPr>
              <w:spacing w:line="480" w:lineRule="auto"/>
              <w:rPr>
                <w:szCs w:val="24"/>
              </w:rPr>
            </w:pPr>
            <w:r w:rsidRPr="007370B3">
              <w:rPr>
                <w:szCs w:val="24"/>
              </w:rPr>
              <w:t>-0.02</w:t>
            </w:r>
          </w:p>
        </w:tc>
      </w:tr>
      <w:tr w:rsidR="00DD509A" w:rsidRPr="007370B3" w:rsidTr="00DD509A">
        <w:trPr>
          <w:trHeight w:val="346"/>
          <w:jc w:val="center"/>
        </w:trPr>
        <w:tc>
          <w:tcPr>
            <w:tcW w:w="1706"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Variance</w:t>
            </w:r>
          </w:p>
        </w:tc>
        <w:tc>
          <w:tcPr>
            <w:tcW w:w="931" w:type="pct"/>
          </w:tcPr>
          <w:p w:rsidR="00DD509A" w:rsidRPr="007370B3" w:rsidRDefault="00DD509A" w:rsidP="00DD509A">
            <w:pPr>
              <w:spacing w:line="480" w:lineRule="auto"/>
              <w:rPr>
                <w:szCs w:val="24"/>
              </w:rPr>
            </w:pPr>
            <w:r w:rsidRPr="007370B3">
              <w:rPr>
                <w:szCs w:val="24"/>
              </w:rPr>
              <w:t>265528.04</w:t>
            </w:r>
          </w:p>
        </w:tc>
        <w:tc>
          <w:tcPr>
            <w:tcW w:w="613" w:type="pct"/>
          </w:tcPr>
          <w:p w:rsidR="00DD509A" w:rsidRPr="007370B3" w:rsidRDefault="00DD509A" w:rsidP="00DD509A">
            <w:pPr>
              <w:spacing w:line="480" w:lineRule="auto"/>
              <w:rPr>
                <w:szCs w:val="24"/>
              </w:rPr>
            </w:pPr>
            <w:r w:rsidRPr="007370B3">
              <w:rPr>
                <w:szCs w:val="24"/>
              </w:rPr>
              <w:t>6.43</w:t>
            </w:r>
          </w:p>
        </w:tc>
        <w:tc>
          <w:tcPr>
            <w:tcW w:w="781" w:type="pct"/>
          </w:tcPr>
          <w:p w:rsidR="00DD509A" w:rsidRPr="007370B3" w:rsidRDefault="00DD509A" w:rsidP="00DD509A">
            <w:pPr>
              <w:spacing w:line="480" w:lineRule="auto"/>
              <w:rPr>
                <w:szCs w:val="24"/>
              </w:rPr>
            </w:pPr>
            <w:r w:rsidRPr="007370B3">
              <w:rPr>
                <w:szCs w:val="24"/>
              </w:rPr>
              <w:t>885.11</w:t>
            </w:r>
          </w:p>
        </w:tc>
        <w:tc>
          <w:tcPr>
            <w:tcW w:w="499" w:type="pct"/>
          </w:tcPr>
          <w:p w:rsidR="00DD509A" w:rsidRPr="007370B3" w:rsidRDefault="00DD509A" w:rsidP="00DD509A">
            <w:pPr>
              <w:spacing w:line="480" w:lineRule="auto"/>
              <w:rPr>
                <w:szCs w:val="24"/>
              </w:rPr>
            </w:pPr>
            <w:r w:rsidRPr="007370B3">
              <w:rPr>
                <w:szCs w:val="24"/>
              </w:rPr>
              <w:t>21.77</w:t>
            </w:r>
          </w:p>
        </w:tc>
        <w:tc>
          <w:tcPr>
            <w:tcW w:w="470" w:type="pct"/>
          </w:tcPr>
          <w:p w:rsidR="00DD509A" w:rsidRPr="007370B3" w:rsidRDefault="00DD509A" w:rsidP="00DD509A">
            <w:pPr>
              <w:spacing w:line="480" w:lineRule="auto"/>
              <w:rPr>
                <w:szCs w:val="24"/>
              </w:rPr>
            </w:pPr>
            <w:r w:rsidRPr="007370B3">
              <w:rPr>
                <w:szCs w:val="24"/>
              </w:rPr>
              <w:t>0.12</w:t>
            </w:r>
          </w:p>
        </w:tc>
      </w:tr>
      <w:tr w:rsidR="00DD509A" w:rsidRPr="007370B3" w:rsidTr="00DD509A">
        <w:trPr>
          <w:trHeight w:val="346"/>
          <w:jc w:val="center"/>
        </w:trPr>
        <w:tc>
          <w:tcPr>
            <w:tcW w:w="1706"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St. Deviation</w:t>
            </w:r>
          </w:p>
        </w:tc>
        <w:tc>
          <w:tcPr>
            <w:tcW w:w="931" w:type="pct"/>
          </w:tcPr>
          <w:p w:rsidR="00DD509A" w:rsidRPr="007370B3" w:rsidRDefault="00DD509A" w:rsidP="00DD509A">
            <w:pPr>
              <w:spacing w:line="480" w:lineRule="auto"/>
              <w:rPr>
                <w:szCs w:val="24"/>
              </w:rPr>
            </w:pPr>
            <w:r w:rsidRPr="007370B3">
              <w:rPr>
                <w:szCs w:val="24"/>
              </w:rPr>
              <w:t>515.29</w:t>
            </w:r>
          </w:p>
        </w:tc>
        <w:tc>
          <w:tcPr>
            <w:tcW w:w="613" w:type="pct"/>
          </w:tcPr>
          <w:p w:rsidR="00DD509A" w:rsidRPr="007370B3" w:rsidRDefault="00DD509A" w:rsidP="00DD509A">
            <w:pPr>
              <w:spacing w:line="480" w:lineRule="auto"/>
              <w:rPr>
                <w:szCs w:val="24"/>
              </w:rPr>
            </w:pPr>
            <w:r w:rsidRPr="007370B3">
              <w:rPr>
                <w:szCs w:val="24"/>
              </w:rPr>
              <w:t>2.53</w:t>
            </w:r>
          </w:p>
        </w:tc>
        <w:tc>
          <w:tcPr>
            <w:tcW w:w="781" w:type="pct"/>
          </w:tcPr>
          <w:p w:rsidR="00DD509A" w:rsidRPr="007370B3" w:rsidRDefault="00DD509A" w:rsidP="00DD509A">
            <w:pPr>
              <w:spacing w:line="480" w:lineRule="auto"/>
              <w:rPr>
                <w:szCs w:val="24"/>
              </w:rPr>
            </w:pPr>
            <w:r w:rsidRPr="007370B3">
              <w:rPr>
                <w:szCs w:val="24"/>
              </w:rPr>
              <w:t>29.75</w:t>
            </w:r>
          </w:p>
        </w:tc>
        <w:tc>
          <w:tcPr>
            <w:tcW w:w="499" w:type="pct"/>
          </w:tcPr>
          <w:p w:rsidR="00DD509A" w:rsidRPr="007370B3" w:rsidRDefault="00DD509A" w:rsidP="00DD509A">
            <w:pPr>
              <w:spacing w:line="480" w:lineRule="auto"/>
              <w:rPr>
                <w:szCs w:val="24"/>
              </w:rPr>
            </w:pPr>
            <w:r w:rsidRPr="007370B3">
              <w:rPr>
                <w:szCs w:val="24"/>
              </w:rPr>
              <w:t>4.67</w:t>
            </w:r>
          </w:p>
        </w:tc>
        <w:tc>
          <w:tcPr>
            <w:tcW w:w="470" w:type="pct"/>
          </w:tcPr>
          <w:p w:rsidR="00DD509A" w:rsidRPr="007370B3" w:rsidRDefault="00DD509A" w:rsidP="00DD509A">
            <w:pPr>
              <w:spacing w:line="480" w:lineRule="auto"/>
              <w:rPr>
                <w:szCs w:val="24"/>
              </w:rPr>
            </w:pPr>
            <w:r w:rsidRPr="007370B3">
              <w:rPr>
                <w:szCs w:val="24"/>
              </w:rPr>
              <w:t>0.35</w:t>
            </w:r>
          </w:p>
        </w:tc>
      </w:tr>
      <w:tr w:rsidR="00DD509A" w:rsidRPr="007370B3" w:rsidTr="00DD509A">
        <w:trPr>
          <w:trHeight w:val="346"/>
          <w:jc w:val="center"/>
        </w:trPr>
        <w:tc>
          <w:tcPr>
            <w:tcW w:w="1706"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Minimum</w:t>
            </w:r>
          </w:p>
        </w:tc>
        <w:tc>
          <w:tcPr>
            <w:tcW w:w="931" w:type="pct"/>
          </w:tcPr>
          <w:p w:rsidR="00DD509A" w:rsidRPr="007370B3" w:rsidRDefault="00DD509A" w:rsidP="00DD509A">
            <w:pPr>
              <w:spacing w:line="480" w:lineRule="auto"/>
              <w:rPr>
                <w:szCs w:val="24"/>
              </w:rPr>
            </w:pPr>
            <w:r w:rsidRPr="007370B3">
              <w:rPr>
                <w:szCs w:val="24"/>
              </w:rPr>
              <w:t>-5199.25</w:t>
            </w:r>
          </w:p>
        </w:tc>
        <w:tc>
          <w:tcPr>
            <w:tcW w:w="613" w:type="pct"/>
          </w:tcPr>
          <w:p w:rsidR="00DD509A" w:rsidRPr="007370B3" w:rsidRDefault="00DD509A" w:rsidP="00DD509A">
            <w:pPr>
              <w:spacing w:line="480" w:lineRule="auto"/>
              <w:rPr>
                <w:szCs w:val="24"/>
              </w:rPr>
            </w:pPr>
            <w:r w:rsidRPr="007370B3">
              <w:rPr>
                <w:szCs w:val="24"/>
              </w:rPr>
              <w:t>0.00</w:t>
            </w:r>
          </w:p>
        </w:tc>
        <w:tc>
          <w:tcPr>
            <w:tcW w:w="781" w:type="pct"/>
          </w:tcPr>
          <w:p w:rsidR="00DD509A" w:rsidRPr="007370B3" w:rsidRDefault="00DD509A" w:rsidP="00DD509A">
            <w:pPr>
              <w:spacing w:line="480" w:lineRule="auto"/>
              <w:rPr>
                <w:szCs w:val="24"/>
              </w:rPr>
            </w:pPr>
            <w:r w:rsidRPr="007370B3">
              <w:rPr>
                <w:szCs w:val="24"/>
              </w:rPr>
              <w:t>0.00</w:t>
            </w:r>
          </w:p>
        </w:tc>
        <w:tc>
          <w:tcPr>
            <w:tcW w:w="499" w:type="pct"/>
          </w:tcPr>
          <w:p w:rsidR="00DD509A" w:rsidRPr="007370B3" w:rsidRDefault="00DD509A" w:rsidP="00DD509A">
            <w:pPr>
              <w:spacing w:line="480" w:lineRule="auto"/>
              <w:rPr>
                <w:szCs w:val="24"/>
              </w:rPr>
            </w:pPr>
            <w:r w:rsidRPr="007370B3">
              <w:rPr>
                <w:szCs w:val="24"/>
              </w:rPr>
              <w:t>0.00</w:t>
            </w:r>
          </w:p>
        </w:tc>
        <w:tc>
          <w:tcPr>
            <w:tcW w:w="470" w:type="pct"/>
          </w:tcPr>
          <w:p w:rsidR="00DD509A" w:rsidRPr="007370B3" w:rsidRDefault="00DD509A" w:rsidP="00DD509A">
            <w:pPr>
              <w:spacing w:line="480" w:lineRule="auto"/>
              <w:rPr>
                <w:szCs w:val="24"/>
              </w:rPr>
            </w:pPr>
            <w:r w:rsidRPr="007370B3">
              <w:rPr>
                <w:szCs w:val="24"/>
              </w:rPr>
              <w:t>-2.10</w:t>
            </w:r>
          </w:p>
        </w:tc>
      </w:tr>
      <w:tr w:rsidR="00DD509A" w:rsidRPr="007370B3" w:rsidTr="00DD509A">
        <w:trPr>
          <w:trHeight w:val="346"/>
          <w:jc w:val="center"/>
        </w:trPr>
        <w:tc>
          <w:tcPr>
            <w:tcW w:w="1706"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Maximum</w:t>
            </w:r>
          </w:p>
        </w:tc>
        <w:tc>
          <w:tcPr>
            <w:tcW w:w="931" w:type="pct"/>
          </w:tcPr>
          <w:p w:rsidR="00DD509A" w:rsidRPr="007370B3" w:rsidRDefault="00DD509A" w:rsidP="00DD509A">
            <w:pPr>
              <w:spacing w:line="480" w:lineRule="auto"/>
              <w:rPr>
                <w:szCs w:val="24"/>
              </w:rPr>
            </w:pPr>
            <w:r w:rsidRPr="007370B3">
              <w:rPr>
                <w:szCs w:val="24"/>
              </w:rPr>
              <w:t>0.89</w:t>
            </w:r>
          </w:p>
        </w:tc>
        <w:tc>
          <w:tcPr>
            <w:tcW w:w="613" w:type="pct"/>
          </w:tcPr>
          <w:p w:rsidR="00DD509A" w:rsidRPr="007370B3" w:rsidRDefault="00DD509A" w:rsidP="00DD509A">
            <w:pPr>
              <w:spacing w:line="480" w:lineRule="auto"/>
              <w:rPr>
                <w:szCs w:val="24"/>
              </w:rPr>
            </w:pPr>
            <w:r w:rsidRPr="007370B3">
              <w:rPr>
                <w:szCs w:val="24"/>
              </w:rPr>
              <w:t>23.70</w:t>
            </w:r>
          </w:p>
        </w:tc>
        <w:tc>
          <w:tcPr>
            <w:tcW w:w="781" w:type="pct"/>
          </w:tcPr>
          <w:p w:rsidR="00DD509A" w:rsidRPr="007370B3" w:rsidRDefault="00DD509A" w:rsidP="00DD509A">
            <w:pPr>
              <w:spacing w:line="480" w:lineRule="auto"/>
              <w:rPr>
                <w:szCs w:val="24"/>
              </w:rPr>
            </w:pPr>
            <w:r w:rsidRPr="007370B3">
              <w:rPr>
                <w:szCs w:val="24"/>
              </w:rPr>
              <w:t>295.21</w:t>
            </w:r>
          </w:p>
        </w:tc>
        <w:tc>
          <w:tcPr>
            <w:tcW w:w="499" w:type="pct"/>
          </w:tcPr>
          <w:p w:rsidR="00DD509A" w:rsidRPr="007370B3" w:rsidRDefault="00DD509A" w:rsidP="00DD509A">
            <w:pPr>
              <w:spacing w:line="480" w:lineRule="auto"/>
              <w:rPr>
                <w:szCs w:val="24"/>
              </w:rPr>
            </w:pPr>
            <w:r w:rsidRPr="007370B3">
              <w:rPr>
                <w:szCs w:val="24"/>
              </w:rPr>
              <w:t>45.93</w:t>
            </w:r>
          </w:p>
        </w:tc>
        <w:tc>
          <w:tcPr>
            <w:tcW w:w="470" w:type="pct"/>
          </w:tcPr>
          <w:p w:rsidR="00DD509A" w:rsidRPr="007370B3" w:rsidRDefault="00DD509A" w:rsidP="00DD509A">
            <w:pPr>
              <w:spacing w:line="480" w:lineRule="auto"/>
              <w:rPr>
                <w:szCs w:val="24"/>
              </w:rPr>
            </w:pPr>
            <w:r w:rsidRPr="007370B3">
              <w:rPr>
                <w:szCs w:val="24"/>
              </w:rPr>
              <w:t>2.00</w:t>
            </w:r>
          </w:p>
        </w:tc>
      </w:tr>
    </w:tbl>
    <w:p w:rsidR="00DD509A" w:rsidRPr="007370B3" w:rsidRDefault="00DD509A" w:rsidP="00DD509A">
      <w:pPr>
        <w:pStyle w:val="Paragraphbody0ident"/>
        <w:rPr>
          <w:sz w:val="24"/>
        </w:rPr>
      </w:pPr>
    </w:p>
    <w:p w:rsidR="00DD509A" w:rsidRPr="007370B3" w:rsidRDefault="00DD509A" w:rsidP="007370B3">
      <w:pPr>
        <w:pStyle w:val="Paragraphbody0ident"/>
        <w:spacing w:before="120" w:after="120"/>
        <w:rPr>
          <w:sz w:val="24"/>
        </w:rPr>
      </w:pPr>
      <w:r w:rsidRPr="007370B3">
        <w:rPr>
          <w:sz w:val="24"/>
        </w:rPr>
        <w:t xml:space="preserve">When comparing the mean and median, it is evident that the sample contains several outliers. It is especially observable when comparing the mean and 5% of the trimmed mean, which does not contain any of the outliers. The highest variance is connected with the EBITDA margin. The EBITDA margin should achieve positive values because it indicates the company has created profit. When the EBITDA margin is negative, it means that the company has not created profit from its operational activities. It will probably finish in red numbers from all its activities because the operational activities are the backbone. According to the median more than half of the enterprises have a negative EBITDA margin. </w:t>
      </w:r>
    </w:p>
    <w:p w:rsidR="00DD509A" w:rsidRPr="007370B3" w:rsidRDefault="00DD509A" w:rsidP="007370B3">
      <w:pPr>
        <w:pStyle w:val="Paragraphbody0ident"/>
        <w:spacing w:before="120" w:after="120"/>
        <w:ind w:firstLine="284"/>
        <w:rPr>
          <w:sz w:val="24"/>
        </w:rPr>
      </w:pPr>
      <w:r w:rsidRPr="007370B3">
        <w:rPr>
          <w:sz w:val="24"/>
        </w:rPr>
        <w:t xml:space="preserve">Cash Deficit is an indicator which shows that the companies have serious problems in the area of the corporate liquidity. In our sample, 50% of the companies had maximally 16% of </w:t>
      </w:r>
      <w:r w:rsidRPr="007370B3">
        <w:rPr>
          <w:sz w:val="24"/>
        </w:rPr>
        <w:lastRenderedPageBreak/>
        <w:t xml:space="preserve">the needed liquidity. It can be repeated that the level of needed liquidity is set up as 0.15 cash liquidity. </w:t>
      </w:r>
    </w:p>
    <w:p w:rsidR="00DD509A" w:rsidRPr="007370B3" w:rsidRDefault="00DD509A" w:rsidP="007370B3">
      <w:pPr>
        <w:pStyle w:val="Paragraphbody0ident"/>
        <w:spacing w:before="120" w:after="120"/>
        <w:ind w:firstLine="284"/>
        <w:rPr>
          <w:sz w:val="24"/>
        </w:rPr>
      </w:pPr>
      <w:r w:rsidRPr="007370B3">
        <w:rPr>
          <w:sz w:val="24"/>
        </w:rPr>
        <w:t>On the other hand, the working capital ratio reached much better results because the companies had non-financial current assets as inventories and receivables in the comparison to payables. If inventories and receivables are of good quality, they would be transferable in cash and their equivalents for reducing payables.</w:t>
      </w:r>
    </w:p>
    <w:p w:rsidR="00DD509A" w:rsidRPr="007370B3" w:rsidRDefault="00DD509A" w:rsidP="007370B3">
      <w:pPr>
        <w:pStyle w:val="Paragraphbody0ident"/>
        <w:spacing w:before="120" w:after="120"/>
        <w:rPr>
          <w:sz w:val="24"/>
        </w:rPr>
      </w:pPr>
      <w:r w:rsidRPr="007370B3">
        <w:rPr>
          <w:sz w:val="24"/>
        </w:rPr>
        <w:t xml:space="preserve">Debt Ratio shows that the companies used debts massively for their financing. The median proves that 50% of the companies use debts as their only financial source. When the value of debt ratio exceeds one it means that the company has more debts (liabilities) than assets. This situation is possible when the company has negative equity. </w:t>
      </w:r>
    </w:p>
    <w:p w:rsidR="00DD509A" w:rsidRPr="007370B3" w:rsidRDefault="00DD509A" w:rsidP="007370B3">
      <w:pPr>
        <w:pStyle w:val="Paragraphbody0ident"/>
        <w:spacing w:before="120" w:after="120"/>
        <w:rPr>
          <w:sz w:val="24"/>
        </w:rPr>
      </w:pPr>
      <w:r w:rsidRPr="007370B3">
        <w:rPr>
          <w:sz w:val="24"/>
        </w:rPr>
        <w:t>The ROA indicator computed with EBITDA in the numerator confirms the results of a negative EBITDA margin. In our sample, 50% of the companies finished in red numbers and they were not profitable.</w:t>
      </w:r>
    </w:p>
    <w:p w:rsidR="00DD509A" w:rsidRPr="007370B3" w:rsidRDefault="00DD509A" w:rsidP="007370B3">
      <w:pPr>
        <w:pStyle w:val="Paragraphbody0ident"/>
        <w:spacing w:before="120" w:after="120"/>
        <w:ind w:firstLine="284"/>
        <w:rPr>
          <w:sz w:val="24"/>
        </w:rPr>
      </w:pPr>
      <w:r w:rsidRPr="007370B3">
        <w:rPr>
          <w:sz w:val="24"/>
        </w:rPr>
        <w:t>Further the analysis will go deep and search for cross relations between the selected indicators. Negative EBITDA and the profitability of companies are caused by high costs. When the cost and expenditures outweigh sales, the company finishes in red numbers. The main cost categories are the costs of materials, utilities and services accompanied by labor costs in most companies. Table 3 shows the share of these cost categories on the companies’ sales. The group cost of materials, utilities and services has a higher share. Leave aside the high mean value caused by the outliers, which confirms our observation regarding the EBITDA Margin. The median proves that 50% of the sample has this cost share lower than 78%. These costs and expenditures partly have a variable character and therefore there is a way to change them when sales decrease. Conversely, labor costs have a dominant fixed character and change is much more difficult. The obvious conclusion is that companies need to manage their costs better.</w:t>
      </w:r>
    </w:p>
    <w:p w:rsidR="00DD509A" w:rsidRPr="007370B3" w:rsidRDefault="00DD509A" w:rsidP="00DD509A">
      <w:pPr>
        <w:pStyle w:val="Tabletitle"/>
        <w:rPr>
          <w:sz w:val="24"/>
        </w:rPr>
      </w:pPr>
      <w:proofErr w:type="gramStart"/>
      <w:r w:rsidRPr="007370B3">
        <w:rPr>
          <w:sz w:val="24"/>
        </w:rPr>
        <w:t>Table 3.</w:t>
      </w:r>
      <w:proofErr w:type="gramEnd"/>
      <w:r w:rsidRPr="007370B3">
        <w:rPr>
          <w:sz w:val="24"/>
        </w:rPr>
        <w:t xml:space="preserve"> Shares of cost on the companies' </w:t>
      </w:r>
      <w:proofErr w:type="gramStart"/>
      <w:r w:rsidRPr="007370B3">
        <w:rPr>
          <w:sz w:val="24"/>
        </w:rPr>
        <w:t>sales</w:t>
      </w:r>
      <w:proofErr w:type="gramEnd"/>
      <w:r w:rsidRPr="007370B3">
        <w:rPr>
          <w:sz w:val="24"/>
        </w:rPr>
        <w:br/>
        <w:t>(source: author based on Bisnode Magnusweb)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774"/>
        <w:gridCol w:w="2654"/>
        <w:gridCol w:w="2654"/>
      </w:tblGrid>
      <w:tr w:rsidR="00DD509A" w:rsidRPr="007370B3" w:rsidTr="007370B3">
        <w:trPr>
          <w:trHeight w:val="346"/>
          <w:jc w:val="center"/>
        </w:trPr>
        <w:tc>
          <w:tcPr>
            <w:tcW w:w="2078" w:type="pct"/>
          </w:tcPr>
          <w:p w:rsidR="00DD509A" w:rsidRPr="007370B3" w:rsidRDefault="00DD509A" w:rsidP="00DD509A">
            <w:pPr>
              <w:jc w:val="center"/>
              <w:rPr>
                <w:szCs w:val="24"/>
              </w:rPr>
            </w:pPr>
          </w:p>
        </w:tc>
        <w:tc>
          <w:tcPr>
            <w:tcW w:w="1461" w:type="pct"/>
          </w:tcPr>
          <w:p w:rsidR="00DD509A" w:rsidRPr="007370B3" w:rsidRDefault="00DD509A" w:rsidP="00DD509A">
            <w:pPr>
              <w:jc w:val="center"/>
              <w:rPr>
                <w:szCs w:val="24"/>
              </w:rPr>
            </w:pPr>
            <w:r w:rsidRPr="007370B3">
              <w:rPr>
                <w:szCs w:val="24"/>
              </w:rPr>
              <w:t>Share of cost of material, utilities and services</w:t>
            </w:r>
          </w:p>
        </w:tc>
        <w:tc>
          <w:tcPr>
            <w:tcW w:w="1461" w:type="pct"/>
          </w:tcPr>
          <w:p w:rsidR="00DD509A" w:rsidRPr="007370B3" w:rsidRDefault="00DD509A" w:rsidP="00DD509A">
            <w:pPr>
              <w:jc w:val="center"/>
              <w:rPr>
                <w:szCs w:val="24"/>
              </w:rPr>
            </w:pPr>
            <w:r w:rsidRPr="007370B3">
              <w:rPr>
                <w:szCs w:val="24"/>
              </w:rPr>
              <w:t>Share of Labour Cost</w:t>
            </w:r>
          </w:p>
        </w:tc>
      </w:tr>
      <w:tr w:rsidR="00DD509A" w:rsidRPr="007370B3" w:rsidTr="007370B3">
        <w:trPr>
          <w:trHeight w:val="346"/>
          <w:jc w:val="center"/>
        </w:trPr>
        <w:tc>
          <w:tcPr>
            <w:tcW w:w="2078" w:type="pct"/>
          </w:tcPr>
          <w:p w:rsidR="00DD509A" w:rsidRPr="007370B3" w:rsidRDefault="00DD509A" w:rsidP="00DD509A">
            <w:pPr>
              <w:rPr>
                <w:szCs w:val="24"/>
              </w:rPr>
            </w:pPr>
            <w:r w:rsidRPr="007370B3">
              <w:rPr>
                <w:szCs w:val="24"/>
              </w:rPr>
              <w:t>Mean</w:t>
            </w:r>
          </w:p>
        </w:tc>
        <w:tc>
          <w:tcPr>
            <w:tcW w:w="1461" w:type="pct"/>
          </w:tcPr>
          <w:p w:rsidR="00DD509A" w:rsidRPr="007370B3" w:rsidRDefault="00DD509A" w:rsidP="00DD509A">
            <w:pPr>
              <w:rPr>
                <w:szCs w:val="24"/>
              </w:rPr>
            </w:pPr>
            <w:r w:rsidRPr="007370B3">
              <w:rPr>
                <w:szCs w:val="24"/>
              </w:rPr>
              <w:t>91.66</w:t>
            </w:r>
          </w:p>
        </w:tc>
        <w:tc>
          <w:tcPr>
            <w:tcW w:w="1461" w:type="pct"/>
          </w:tcPr>
          <w:p w:rsidR="00DD509A" w:rsidRPr="007370B3" w:rsidRDefault="00DD509A" w:rsidP="00DD509A">
            <w:pPr>
              <w:rPr>
                <w:szCs w:val="24"/>
              </w:rPr>
            </w:pPr>
            <w:r w:rsidRPr="007370B3">
              <w:rPr>
                <w:szCs w:val="24"/>
              </w:rPr>
              <w:t>4.26</w:t>
            </w:r>
          </w:p>
        </w:tc>
      </w:tr>
      <w:tr w:rsidR="00DD509A" w:rsidRPr="007370B3" w:rsidTr="007370B3">
        <w:trPr>
          <w:trHeight w:val="346"/>
          <w:jc w:val="center"/>
        </w:trPr>
        <w:tc>
          <w:tcPr>
            <w:tcW w:w="2078" w:type="pct"/>
          </w:tcPr>
          <w:p w:rsidR="00DD509A" w:rsidRPr="007370B3" w:rsidRDefault="00DD509A" w:rsidP="00DD509A">
            <w:pPr>
              <w:rPr>
                <w:szCs w:val="24"/>
              </w:rPr>
            </w:pPr>
            <w:r w:rsidRPr="007370B3">
              <w:rPr>
                <w:szCs w:val="24"/>
              </w:rPr>
              <w:t>5% Trimmed Mean</w:t>
            </w:r>
          </w:p>
        </w:tc>
        <w:tc>
          <w:tcPr>
            <w:tcW w:w="1461" w:type="pct"/>
          </w:tcPr>
          <w:p w:rsidR="00DD509A" w:rsidRPr="007370B3" w:rsidRDefault="00DD509A" w:rsidP="00DD509A">
            <w:pPr>
              <w:rPr>
                <w:szCs w:val="24"/>
              </w:rPr>
            </w:pPr>
            <w:r w:rsidRPr="007370B3">
              <w:rPr>
                <w:szCs w:val="24"/>
              </w:rPr>
              <w:t>0.94</w:t>
            </w:r>
          </w:p>
        </w:tc>
        <w:tc>
          <w:tcPr>
            <w:tcW w:w="1461" w:type="pct"/>
          </w:tcPr>
          <w:p w:rsidR="00DD509A" w:rsidRPr="007370B3" w:rsidRDefault="00DD509A" w:rsidP="00DD509A">
            <w:pPr>
              <w:rPr>
                <w:szCs w:val="24"/>
              </w:rPr>
            </w:pPr>
            <w:r w:rsidRPr="007370B3">
              <w:rPr>
                <w:szCs w:val="24"/>
              </w:rPr>
              <w:t>0.26</w:t>
            </w:r>
          </w:p>
        </w:tc>
      </w:tr>
      <w:tr w:rsidR="00DD509A" w:rsidRPr="007370B3" w:rsidTr="007370B3">
        <w:trPr>
          <w:trHeight w:val="346"/>
          <w:jc w:val="center"/>
        </w:trPr>
        <w:tc>
          <w:tcPr>
            <w:tcW w:w="2078" w:type="pct"/>
          </w:tcPr>
          <w:p w:rsidR="00DD509A" w:rsidRPr="007370B3" w:rsidRDefault="00DD509A" w:rsidP="00DD509A">
            <w:pPr>
              <w:rPr>
                <w:szCs w:val="24"/>
              </w:rPr>
            </w:pPr>
            <w:r w:rsidRPr="007370B3">
              <w:rPr>
                <w:szCs w:val="24"/>
              </w:rPr>
              <w:t>Median</w:t>
            </w:r>
          </w:p>
        </w:tc>
        <w:tc>
          <w:tcPr>
            <w:tcW w:w="1461" w:type="pct"/>
          </w:tcPr>
          <w:p w:rsidR="00DD509A" w:rsidRPr="007370B3" w:rsidRDefault="00DD509A" w:rsidP="00DD509A">
            <w:pPr>
              <w:rPr>
                <w:szCs w:val="24"/>
              </w:rPr>
            </w:pPr>
            <w:r w:rsidRPr="007370B3">
              <w:rPr>
                <w:szCs w:val="24"/>
              </w:rPr>
              <w:t>0.78</w:t>
            </w:r>
          </w:p>
        </w:tc>
        <w:tc>
          <w:tcPr>
            <w:tcW w:w="1461" w:type="pct"/>
          </w:tcPr>
          <w:p w:rsidR="00DD509A" w:rsidRPr="007370B3" w:rsidRDefault="00DD509A" w:rsidP="00DD509A">
            <w:pPr>
              <w:rPr>
                <w:szCs w:val="24"/>
              </w:rPr>
            </w:pPr>
            <w:r w:rsidRPr="007370B3">
              <w:rPr>
                <w:szCs w:val="24"/>
              </w:rPr>
              <w:t>0.21</w:t>
            </w:r>
          </w:p>
        </w:tc>
      </w:tr>
    </w:tbl>
    <w:p w:rsidR="00DD509A" w:rsidRPr="007370B3" w:rsidRDefault="00DD509A" w:rsidP="00DD509A">
      <w:pPr>
        <w:pStyle w:val="Paragraphbody0ident"/>
        <w:rPr>
          <w:sz w:val="24"/>
        </w:rPr>
      </w:pPr>
    </w:p>
    <w:p w:rsidR="00DD509A" w:rsidRPr="007370B3" w:rsidRDefault="00DD509A" w:rsidP="00DD509A">
      <w:pPr>
        <w:pStyle w:val="Paragraphbody0ident"/>
        <w:rPr>
          <w:sz w:val="24"/>
        </w:rPr>
      </w:pPr>
      <w:r w:rsidRPr="007370B3">
        <w:rPr>
          <w:sz w:val="24"/>
        </w:rPr>
        <w:t xml:space="preserve">The next step is the time analysis.  Previous researches as Altman (1968) or Čámská (2017) prove that the financial situation is getting worse bankruptcy is coming closer.  The data sample will be strictly divided into three time periods – one year, two years or three years before the insolvency proposal. The company´s financial situation is expressed using the indicators selected above and their main components. As outliers have been identified, they have been identified through their relative frequencies, which describe the polarity of the indicators. These results are divided in two groups. The first group shows the companies with positive outcomes as having positive EBITDA, cash surplus (more cash, and its equivalents, than the necessary level of liquidity), positive working capital (the surplus of current assets over short-term liabilities) and positive equity. The second group consists of </w:t>
      </w:r>
      <w:r w:rsidRPr="007370B3">
        <w:rPr>
          <w:sz w:val="24"/>
        </w:rPr>
        <w:lastRenderedPageBreak/>
        <w:t>the companies with negative outcomes in these indicators. The results are displayed in table 4.</w:t>
      </w:r>
    </w:p>
    <w:p w:rsidR="00DD509A" w:rsidRPr="007370B3" w:rsidRDefault="00DD509A" w:rsidP="00DD509A">
      <w:pPr>
        <w:pStyle w:val="Paragraphbody0ident"/>
        <w:ind w:firstLine="284"/>
        <w:rPr>
          <w:sz w:val="24"/>
        </w:rPr>
      </w:pPr>
      <w:r w:rsidRPr="007370B3">
        <w:rPr>
          <w:sz w:val="24"/>
        </w:rPr>
        <w:t xml:space="preserve">The analysis of the polarity of selected indicators shows that the primary EBITDA indicator, as the basic indicator of operational performance, had a shift in the polarity. The shift towards negative values is seen in the three year time period before the insolvency proposal. The indicator had a negative value for 56.3% of the enterprises in the three year time period before the proposal, but it had a negative value for 73.3% of the enterprises a year before the proposal. This means the operational performance deteriorated in the period leading up to the proposal. However, the operational performance was not satisfactory at the beginning of the period for most of the companies. Furthermore, it is evident that the companies had problems with the amount of cash and its equivalents. There is no observably significant deterioration of this indicator because about 80% of the companies suffered from a cash deficit during the analyzed time period. Primary non-cash components of working capital also have a worsening effect and it is remarkable for the EBITDA indicator.  These observed results confirm the three stage model developed by </w:t>
      </w:r>
      <w:r w:rsidRPr="007370B3">
        <w:rPr>
          <w:sz w:val="24"/>
          <w:lang w:val="cs-CZ"/>
        </w:rPr>
        <w:t>Farooq, Jibran Qamar, &amp;Haque (2018).</w:t>
      </w:r>
      <w:proofErr w:type="gramStart"/>
      <w:r w:rsidRPr="007370B3">
        <w:rPr>
          <w:sz w:val="24"/>
        </w:rPr>
        <w:t>However,</w:t>
      </w:r>
      <w:proofErr w:type="gramEnd"/>
      <w:r w:rsidRPr="007370B3">
        <w:rPr>
          <w:sz w:val="24"/>
        </w:rPr>
        <w:t xml:space="preserve"> the results for the working capital ratio are best one year before the proposal from all analyzed variables. The most significant shift is connected with equity. As indicated in the table above, less than 50% of the companies had negative equity in the two and three year time periods before the proposal, but the percentage increased to more than 70% only one year prior to the proposal.</w:t>
      </w:r>
    </w:p>
    <w:p w:rsidR="00DD509A" w:rsidRPr="007370B3" w:rsidRDefault="00DD509A" w:rsidP="00DD509A">
      <w:pPr>
        <w:pStyle w:val="Paragraphbody0ident"/>
        <w:ind w:firstLine="284"/>
        <w:rPr>
          <w:sz w:val="24"/>
        </w:rPr>
      </w:pPr>
    </w:p>
    <w:p w:rsidR="00DD509A" w:rsidRPr="007370B3" w:rsidRDefault="00DD509A" w:rsidP="00DD509A">
      <w:pPr>
        <w:pStyle w:val="Paragraphbody0ident"/>
        <w:ind w:firstLine="284"/>
        <w:rPr>
          <w:sz w:val="24"/>
        </w:rPr>
      </w:pPr>
    </w:p>
    <w:p w:rsidR="00DD509A" w:rsidRPr="007370B3" w:rsidRDefault="00DD509A" w:rsidP="00DD509A">
      <w:pPr>
        <w:pStyle w:val="Tabletitle"/>
        <w:rPr>
          <w:sz w:val="24"/>
        </w:rPr>
      </w:pPr>
      <w:proofErr w:type="gramStart"/>
      <w:r w:rsidRPr="007370B3">
        <w:rPr>
          <w:sz w:val="24"/>
        </w:rPr>
        <w:t>Table 4.</w:t>
      </w:r>
      <w:proofErr w:type="gramEnd"/>
      <w:r w:rsidRPr="007370B3">
        <w:rPr>
          <w:sz w:val="24"/>
        </w:rPr>
        <w:t xml:space="preserve"> Relative polarity of frequencies of selected </w:t>
      </w:r>
      <w:proofErr w:type="gramStart"/>
      <w:r w:rsidRPr="007370B3">
        <w:rPr>
          <w:sz w:val="24"/>
        </w:rPr>
        <w:t>indicators</w:t>
      </w:r>
      <w:proofErr w:type="gramEnd"/>
      <w:r w:rsidRPr="007370B3">
        <w:rPr>
          <w:sz w:val="24"/>
        </w:rPr>
        <w:br/>
        <w:t>(source: author based on Bisnode Magnusweb)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420"/>
        <w:gridCol w:w="1865"/>
        <w:gridCol w:w="1230"/>
        <w:gridCol w:w="1566"/>
        <w:gridCol w:w="1001"/>
      </w:tblGrid>
      <w:tr w:rsidR="00DD509A" w:rsidRPr="007370B3" w:rsidTr="00DD509A">
        <w:trPr>
          <w:trHeight w:val="346"/>
          <w:jc w:val="center"/>
        </w:trPr>
        <w:tc>
          <w:tcPr>
            <w:tcW w:w="2910" w:type="pct"/>
            <w:gridSpan w:val="2"/>
            <w:vMerge w:val="restart"/>
            <w:vAlign w:val="bottom"/>
          </w:tcPr>
          <w:p w:rsidR="00DD509A" w:rsidRPr="007370B3" w:rsidRDefault="00DD509A" w:rsidP="00DD509A">
            <w:pPr>
              <w:spacing w:line="480" w:lineRule="auto"/>
              <w:rPr>
                <w:szCs w:val="24"/>
                <w:lang w:eastAsia="cs-CZ"/>
              </w:rPr>
            </w:pPr>
          </w:p>
        </w:tc>
        <w:tc>
          <w:tcPr>
            <w:tcW w:w="2090" w:type="pct"/>
            <w:gridSpan w:val="3"/>
            <w:vAlign w:val="center"/>
          </w:tcPr>
          <w:p w:rsidR="00DD509A" w:rsidRPr="007370B3" w:rsidRDefault="00DD509A" w:rsidP="00DD509A">
            <w:pPr>
              <w:spacing w:line="480" w:lineRule="auto"/>
              <w:jc w:val="center"/>
              <w:rPr>
                <w:szCs w:val="24"/>
                <w:lang w:eastAsia="cs-CZ"/>
              </w:rPr>
            </w:pPr>
            <w:r w:rsidRPr="007370B3">
              <w:rPr>
                <w:szCs w:val="24"/>
                <w:lang w:eastAsia="cs-CZ"/>
              </w:rPr>
              <w:t>Before Insolvency Proposal</w:t>
            </w:r>
          </w:p>
        </w:tc>
      </w:tr>
      <w:tr w:rsidR="00DD509A" w:rsidRPr="007370B3" w:rsidTr="00DD509A">
        <w:trPr>
          <w:trHeight w:val="346"/>
          <w:jc w:val="center"/>
        </w:trPr>
        <w:tc>
          <w:tcPr>
            <w:tcW w:w="2910" w:type="pct"/>
            <w:gridSpan w:val="2"/>
            <w:vMerge/>
          </w:tcPr>
          <w:p w:rsidR="00DD509A" w:rsidRPr="007370B3" w:rsidRDefault="00DD509A" w:rsidP="00DD509A">
            <w:pPr>
              <w:spacing w:line="480" w:lineRule="auto"/>
              <w:rPr>
                <w:szCs w:val="24"/>
              </w:rPr>
            </w:pPr>
          </w:p>
        </w:tc>
        <w:tc>
          <w:tcPr>
            <w:tcW w:w="677" w:type="pct"/>
            <w:vAlign w:val="bottom"/>
          </w:tcPr>
          <w:p w:rsidR="00DD509A" w:rsidRPr="007370B3" w:rsidRDefault="00DD509A" w:rsidP="00DD509A">
            <w:pPr>
              <w:spacing w:line="480" w:lineRule="auto"/>
              <w:jc w:val="center"/>
              <w:rPr>
                <w:szCs w:val="24"/>
                <w:lang w:eastAsia="cs-CZ"/>
              </w:rPr>
            </w:pPr>
            <w:r w:rsidRPr="007370B3">
              <w:rPr>
                <w:szCs w:val="24"/>
                <w:lang w:eastAsia="cs-CZ"/>
              </w:rPr>
              <w:t>1 Year</w:t>
            </w:r>
          </w:p>
        </w:tc>
        <w:tc>
          <w:tcPr>
            <w:tcW w:w="862" w:type="pct"/>
            <w:vAlign w:val="bottom"/>
          </w:tcPr>
          <w:p w:rsidR="00DD509A" w:rsidRPr="007370B3" w:rsidRDefault="00DD509A" w:rsidP="00DD509A">
            <w:pPr>
              <w:spacing w:line="480" w:lineRule="auto"/>
              <w:jc w:val="center"/>
              <w:rPr>
                <w:szCs w:val="24"/>
                <w:lang w:eastAsia="cs-CZ"/>
              </w:rPr>
            </w:pPr>
            <w:r w:rsidRPr="007370B3">
              <w:rPr>
                <w:szCs w:val="24"/>
                <w:lang w:eastAsia="cs-CZ"/>
              </w:rPr>
              <w:t>2 Years</w:t>
            </w:r>
          </w:p>
        </w:tc>
        <w:tc>
          <w:tcPr>
            <w:tcW w:w="551" w:type="pct"/>
            <w:vAlign w:val="bottom"/>
          </w:tcPr>
          <w:p w:rsidR="00DD509A" w:rsidRPr="007370B3" w:rsidRDefault="00DD509A" w:rsidP="00DD509A">
            <w:pPr>
              <w:spacing w:line="480" w:lineRule="auto"/>
              <w:jc w:val="center"/>
              <w:rPr>
                <w:szCs w:val="24"/>
                <w:lang w:eastAsia="cs-CZ"/>
              </w:rPr>
            </w:pPr>
            <w:r w:rsidRPr="007370B3">
              <w:rPr>
                <w:szCs w:val="24"/>
                <w:lang w:eastAsia="cs-CZ"/>
              </w:rPr>
              <w:t xml:space="preserve">3 Years </w:t>
            </w:r>
          </w:p>
        </w:tc>
      </w:tr>
      <w:tr w:rsidR="00DD509A" w:rsidRPr="007370B3" w:rsidTr="00DD509A">
        <w:trPr>
          <w:trHeight w:val="346"/>
          <w:jc w:val="center"/>
        </w:trPr>
        <w:tc>
          <w:tcPr>
            <w:tcW w:w="1883" w:type="pct"/>
            <w:vMerge w:val="restart"/>
            <w:vAlign w:val="center"/>
          </w:tcPr>
          <w:p w:rsidR="00DD509A" w:rsidRPr="007370B3" w:rsidRDefault="00DD509A" w:rsidP="00DD509A">
            <w:pPr>
              <w:spacing w:line="480" w:lineRule="auto"/>
              <w:rPr>
                <w:bCs/>
                <w:szCs w:val="24"/>
                <w:lang w:eastAsia="cs-CZ"/>
              </w:rPr>
            </w:pPr>
            <w:r w:rsidRPr="007370B3">
              <w:rPr>
                <w:bCs/>
                <w:szCs w:val="24"/>
                <w:lang w:eastAsia="cs-CZ"/>
              </w:rPr>
              <w:t>Polarity of EBITDA</w:t>
            </w:r>
          </w:p>
        </w:tc>
        <w:tc>
          <w:tcPr>
            <w:tcW w:w="1027" w:type="pct"/>
            <w:vAlign w:val="bottom"/>
          </w:tcPr>
          <w:p w:rsidR="00DD509A" w:rsidRPr="007370B3" w:rsidRDefault="00DD509A" w:rsidP="00DD509A">
            <w:pPr>
              <w:spacing w:line="480" w:lineRule="auto"/>
              <w:rPr>
                <w:szCs w:val="24"/>
                <w:lang w:eastAsia="cs-CZ"/>
              </w:rPr>
            </w:pPr>
            <w:r w:rsidRPr="007370B3">
              <w:rPr>
                <w:szCs w:val="24"/>
                <w:lang w:eastAsia="cs-CZ"/>
              </w:rPr>
              <w:t>Positive EBITDA</w:t>
            </w:r>
          </w:p>
        </w:tc>
        <w:tc>
          <w:tcPr>
            <w:tcW w:w="677" w:type="pct"/>
            <w:vAlign w:val="bottom"/>
          </w:tcPr>
          <w:p w:rsidR="00DD509A" w:rsidRPr="007370B3" w:rsidRDefault="00DD509A" w:rsidP="00DD509A">
            <w:pPr>
              <w:spacing w:line="480" w:lineRule="auto"/>
              <w:rPr>
                <w:szCs w:val="24"/>
                <w:lang w:eastAsia="cs-CZ"/>
              </w:rPr>
            </w:pPr>
            <w:r w:rsidRPr="007370B3">
              <w:rPr>
                <w:szCs w:val="24"/>
                <w:lang w:eastAsia="cs-CZ"/>
              </w:rPr>
              <w:t>26.7%</w:t>
            </w:r>
          </w:p>
        </w:tc>
        <w:tc>
          <w:tcPr>
            <w:tcW w:w="862" w:type="pct"/>
            <w:vAlign w:val="bottom"/>
          </w:tcPr>
          <w:p w:rsidR="00DD509A" w:rsidRPr="007370B3" w:rsidRDefault="00DD509A" w:rsidP="00DD509A">
            <w:pPr>
              <w:spacing w:line="480" w:lineRule="auto"/>
              <w:rPr>
                <w:szCs w:val="24"/>
                <w:lang w:eastAsia="cs-CZ"/>
              </w:rPr>
            </w:pPr>
            <w:r w:rsidRPr="007370B3">
              <w:rPr>
                <w:szCs w:val="24"/>
                <w:lang w:eastAsia="cs-CZ"/>
              </w:rPr>
              <w:t>42.9%</w:t>
            </w:r>
          </w:p>
        </w:tc>
        <w:tc>
          <w:tcPr>
            <w:tcW w:w="551" w:type="pct"/>
            <w:vAlign w:val="bottom"/>
          </w:tcPr>
          <w:p w:rsidR="00DD509A" w:rsidRPr="007370B3" w:rsidRDefault="00DD509A" w:rsidP="00DD509A">
            <w:pPr>
              <w:spacing w:line="480" w:lineRule="auto"/>
              <w:rPr>
                <w:szCs w:val="24"/>
                <w:lang w:eastAsia="cs-CZ"/>
              </w:rPr>
            </w:pPr>
            <w:r w:rsidRPr="007370B3">
              <w:rPr>
                <w:szCs w:val="24"/>
                <w:lang w:eastAsia="cs-CZ"/>
              </w:rPr>
              <w:t>43.8%</w:t>
            </w:r>
          </w:p>
        </w:tc>
      </w:tr>
      <w:tr w:rsidR="00DD509A" w:rsidRPr="007370B3" w:rsidTr="00DD509A">
        <w:trPr>
          <w:trHeight w:val="346"/>
          <w:jc w:val="center"/>
        </w:trPr>
        <w:tc>
          <w:tcPr>
            <w:tcW w:w="1883" w:type="pct"/>
            <w:vMerge/>
            <w:vAlign w:val="center"/>
          </w:tcPr>
          <w:p w:rsidR="00DD509A" w:rsidRPr="007370B3" w:rsidRDefault="00DD509A" w:rsidP="00DD509A">
            <w:pPr>
              <w:spacing w:line="480" w:lineRule="auto"/>
              <w:rPr>
                <w:szCs w:val="24"/>
                <w:lang w:eastAsia="cs-CZ"/>
              </w:rPr>
            </w:pPr>
          </w:p>
        </w:tc>
        <w:tc>
          <w:tcPr>
            <w:tcW w:w="1027" w:type="pct"/>
            <w:vAlign w:val="bottom"/>
          </w:tcPr>
          <w:p w:rsidR="00DD509A" w:rsidRPr="007370B3" w:rsidRDefault="00DD509A" w:rsidP="00DD509A">
            <w:pPr>
              <w:spacing w:line="480" w:lineRule="auto"/>
              <w:rPr>
                <w:szCs w:val="24"/>
                <w:lang w:eastAsia="cs-CZ"/>
              </w:rPr>
            </w:pPr>
            <w:r w:rsidRPr="007370B3">
              <w:rPr>
                <w:szCs w:val="24"/>
                <w:lang w:eastAsia="cs-CZ"/>
              </w:rPr>
              <w:t>Negative EBITDA</w:t>
            </w:r>
          </w:p>
        </w:tc>
        <w:tc>
          <w:tcPr>
            <w:tcW w:w="677" w:type="pct"/>
            <w:vAlign w:val="bottom"/>
          </w:tcPr>
          <w:p w:rsidR="00DD509A" w:rsidRPr="007370B3" w:rsidRDefault="00DD509A" w:rsidP="00DD509A">
            <w:pPr>
              <w:spacing w:line="480" w:lineRule="auto"/>
              <w:rPr>
                <w:szCs w:val="24"/>
                <w:lang w:eastAsia="cs-CZ"/>
              </w:rPr>
            </w:pPr>
            <w:r w:rsidRPr="007370B3">
              <w:rPr>
                <w:szCs w:val="24"/>
                <w:lang w:eastAsia="cs-CZ"/>
              </w:rPr>
              <w:t>73.3%</w:t>
            </w:r>
          </w:p>
        </w:tc>
        <w:tc>
          <w:tcPr>
            <w:tcW w:w="862" w:type="pct"/>
            <w:vAlign w:val="bottom"/>
          </w:tcPr>
          <w:p w:rsidR="00DD509A" w:rsidRPr="007370B3" w:rsidRDefault="00DD509A" w:rsidP="00DD509A">
            <w:pPr>
              <w:spacing w:line="480" w:lineRule="auto"/>
              <w:rPr>
                <w:szCs w:val="24"/>
                <w:lang w:eastAsia="cs-CZ"/>
              </w:rPr>
            </w:pPr>
            <w:r w:rsidRPr="007370B3">
              <w:rPr>
                <w:szCs w:val="24"/>
                <w:lang w:eastAsia="cs-CZ"/>
              </w:rPr>
              <w:t>57.1%</w:t>
            </w:r>
          </w:p>
        </w:tc>
        <w:tc>
          <w:tcPr>
            <w:tcW w:w="551" w:type="pct"/>
            <w:vAlign w:val="bottom"/>
          </w:tcPr>
          <w:p w:rsidR="00DD509A" w:rsidRPr="007370B3" w:rsidRDefault="00DD509A" w:rsidP="00DD509A">
            <w:pPr>
              <w:spacing w:line="480" w:lineRule="auto"/>
              <w:rPr>
                <w:szCs w:val="24"/>
                <w:lang w:eastAsia="cs-CZ"/>
              </w:rPr>
            </w:pPr>
            <w:r w:rsidRPr="007370B3">
              <w:rPr>
                <w:szCs w:val="24"/>
                <w:lang w:eastAsia="cs-CZ"/>
              </w:rPr>
              <w:t>56.3%</w:t>
            </w:r>
          </w:p>
        </w:tc>
      </w:tr>
      <w:tr w:rsidR="00DD509A" w:rsidRPr="007370B3" w:rsidTr="00DD509A">
        <w:trPr>
          <w:trHeight w:val="346"/>
          <w:jc w:val="center"/>
        </w:trPr>
        <w:tc>
          <w:tcPr>
            <w:tcW w:w="1883" w:type="pct"/>
            <w:vMerge w:val="restart"/>
            <w:vAlign w:val="center"/>
          </w:tcPr>
          <w:p w:rsidR="00DD509A" w:rsidRPr="007370B3" w:rsidRDefault="00DD509A" w:rsidP="00DD509A">
            <w:pPr>
              <w:spacing w:line="480" w:lineRule="auto"/>
              <w:rPr>
                <w:bCs/>
                <w:szCs w:val="24"/>
                <w:lang w:eastAsia="cs-CZ"/>
              </w:rPr>
            </w:pPr>
            <w:r w:rsidRPr="007370B3">
              <w:rPr>
                <w:bCs/>
                <w:szCs w:val="24"/>
                <w:lang w:eastAsia="cs-CZ"/>
              </w:rPr>
              <w:t>Polarity of Cash Deficit</w:t>
            </w:r>
          </w:p>
        </w:tc>
        <w:tc>
          <w:tcPr>
            <w:tcW w:w="1027" w:type="pct"/>
            <w:vAlign w:val="bottom"/>
          </w:tcPr>
          <w:p w:rsidR="00DD509A" w:rsidRPr="007370B3" w:rsidRDefault="00DD509A" w:rsidP="00DD509A">
            <w:pPr>
              <w:spacing w:line="480" w:lineRule="auto"/>
              <w:rPr>
                <w:szCs w:val="24"/>
                <w:lang w:eastAsia="cs-CZ"/>
              </w:rPr>
            </w:pPr>
            <w:r w:rsidRPr="007370B3">
              <w:rPr>
                <w:szCs w:val="24"/>
                <w:lang w:eastAsia="cs-CZ"/>
              </w:rPr>
              <w:t>Cash Surplus</w:t>
            </w:r>
          </w:p>
        </w:tc>
        <w:tc>
          <w:tcPr>
            <w:tcW w:w="677" w:type="pct"/>
            <w:vAlign w:val="bottom"/>
          </w:tcPr>
          <w:p w:rsidR="00DD509A" w:rsidRPr="007370B3" w:rsidRDefault="00DD509A" w:rsidP="00DD509A">
            <w:pPr>
              <w:spacing w:line="480" w:lineRule="auto"/>
              <w:rPr>
                <w:szCs w:val="24"/>
                <w:lang w:eastAsia="cs-CZ"/>
              </w:rPr>
            </w:pPr>
            <w:r w:rsidRPr="007370B3">
              <w:rPr>
                <w:szCs w:val="24"/>
                <w:lang w:eastAsia="cs-CZ"/>
              </w:rPr>
              <w:t>13.3%</w:t>
            </w:r>
          </w:p>
        </w:tc>
        <w:tc>
          <w:tcPr>
            <w:tcW w:w="862" w:type="pct"/>
            <w:vAlign w:val="bottom"/>
          </w:tcPr>
          <w:p w:rsidR="00DD509A" w:rsidRPr="007370B3" w:rsidRDefault="00DD509A" w:rsidP="00DD509A">
            <w:pPr>
              <w:spacing w:line="480" w:lineRule="auto"/>
              <w:rPr>
                <w:szCs w:val="24"/>
                <w:lang w:eastAsia="cs-CZ"/>
              </w:rPr>
            </w:pPr>
            <w:r w:rsidRPr="007370B3">
              <w:rPr>
                <w:szCs w:val="24"/>
                <w:lang w:eastAsia="cs-CZ"/>
              </w:rPr>
              <w:t>21.4%</w:t>
            </w:r>
          </w:p>
        </w:tc>
        <w:tc>
          <w:tcPr>
            <w:tcW w:w="551" w:type="pct"/>
            <w:vAlign w:val="bottom"/>
          </w:tcPr>
          <w:p w:rsidR="00DD509A" w:rsidRPr="007370B3" w:rsidRDefault="00DD509A" w:rsidP="00DD509A">
            <w:pPr>
              <w:spacing w:line="480" w:lineRule="auto"/>
              <w:rPr>
                <w:szCs w:val="24"/>
                <w:lang w:eastAsia="cs-CZ"/>
              </w:rPr>
            </w:pPr>
            <w:r w:rsidRPr="007370B3">
              <w:rPr>
                <w:szCs w:val="24"/>
                <w:lang w:eastAsia="cs-CZ"/>
              </w:rPr>
              <w:t>20.8%</w:t>
            </w:r>
          </w:p>
        </w:tc>
      </w:tr>
      <w:tr w:rsidR="00DD509A" w:rsidRPr="007370B3" w:rsidTr="00DD509A">
        <w:trPr>
          <w:trHeight w:val="346"/>
          <w:jc w:val="center"/>
        </w:trPr>
        <w:tc>
          <w:tcPr>
            <w:tcW w:w="1883" w:type="pct"/>
            <w:vMerge/>
            <w:vAlign w:val="center"/>
          </w:tcPr>
          <w:p w:rsidR="00DD509A" w:rsidRPr="007370B3" w:rsidRDefault="00DD509A" w:rsidP="00DD509A">
            <w:pPr>
              <w:spacing w:line="480" w:lineRule="auto"/>
              <w:rPr>
                <w:color w:val="000000"/>
                <w:szCs w:val="24"/>
                <w:lang w:eastAsia="cs-CZ"/>
              </w:rPr>
            </w:pPr>
          </w:p>
        </w:tc>
        <w:tc>
          <w:tcPr>
            <w:tcW w:w="1027" w:type="pct"/>
            <w:vAlign w:val="bottom"/>
          </w:tcPr>
          <w:p w:rsidR="00DD509A" w:rsidRPr="007370B3" w:rsidRDefault="00DD509A" w:rsidP="00DD509A">
            <w:pPr>
              <w:spacing w:line="480" w:lineRule="auto"/>
              <w:rPr>
                <w:szCs w:val="24"/>
                <w:lang w:eastAsia="cs-CZ"/>
              </w:rPr>
            </w:pPr>
            <w:r w:rsidRPr="007370B3">
              <w:rPr>
                <w:szCs w:val="24"/>
                <w:lang w:eastAsia="cs-CZ"/>
              </w:rPr>
              <w:t>Cash Deficit</w:t>
            </w:r>
          </w:p>
        </w:tc>
        <w:tc>
          <w:tcPr>
            <w:tcW w:w="677" w:type="pct"/>
            <w:vAlign w:val="bottom"/>
          </w:tcPr>
          <w:p w:rsidR="00DD509A" w:rsidRPr="007370B3" w:rsidRDefault="00DD509A" w:rsidP="00DD509A">
            <w:pPr>
              <w:spacing w:line="480" w:lineRule="auto"/>
              <w:rPr>
                <w:szCs w:val="24"/>
                <w:lang w:eastAsia="cs-CZ"/>
              </w:rPr>
            </w:pPr>
            <w:r w:rsidRPr="007370B3">
              <w:rPr>
                <w:szCs w:val="24"/>
                <w:lang w:eastAsia="cs-CZ"/>
              </w:rPr>
              <w:t>86.7%</w:t>
            </w:r>
          </w:p>
        </w:tc>
        <w:tc>
          <w:tcPr>
            <w:tcW w:w="862" w:type="pct"/>
            <w:vAlign w:val="bottom"/>
          </w:tcPr>
          <w:p w:rsidR="00DD509A" w:rsidRPr="007370B3" w:rsidRDefault="00DD509A" w:rsidP="00DD509A">
            <w:pPr>
              <w:spacing w:line="480" w:lineRule="auto"/>
              <w:rPr>
                <w:szCs w:val="24"/>
                <w:lang w:eastAsia="cs-CZ"/>
              </w:rPr>
            </w:pPr>
            <w:r w:rsidRPr="007370B3">
              <w:rPr>
                <w:szCs w:val="24"/>
                <w:lang w:eastAsia="cs-CZ"/>
              </w:rPr>
              <w:t>78.6%</w:t>
            </w:r>
          </w:p>
        </w:tc>
        <w:tc>
          <w:tcPr>
            <w:tcW w:w="551" w:type="pct"/>
            <w:vAlign w:val="bottom"/>
          </w:tcPr>
          <w:p w:rsidR="00DD509A" w:rsidRPr="007370B3" w:rsidRDefault="00DD509A" w:rsidP="00DD509A">
            <w:pPr>
              <w:spacing w:line="480" w:lineRule="auto"/>
              <w:rPr>
                <w:szCs w:val="24"/>
                <w:lang w:eastAsia="cs-CZ"/>
              </w:rPr>
            </w:pPr>
            <w:r w:rsidRPr="007370B3">
              <w:rPr>
                <w:szCs w:val="24"/>
                <w:lang w:eastAsia="cs-CZ"/>
              </w:rPr>
              <w:t>79.2%</w:t>
            </w:r>
          </w:p>
        </w:tc>
      </w:tr>
      <w:tr w:rsidR="00DD509A" w:rsidRPr="007370B3" w:rsidTr="00DD509A">
        <w:trPr>
          <w:trHeight w:val="346"/>
          <w:jc w:val="center"/>
        </w:trPr>
        <w:tc>
          <w:tcPr>
            <w:tcW w:w="1883" w:type="pct"/>
            <w:vMerge w:val="restart"/>
            <w:vAlign w:val="center"/>
          </w:tcPr>
          <w:p w:rsidR="00DD509A" w:rsidRPr="007370B3" w:rsidRDefault="00DD509A" w:rsidP="00DD509A">
            <w:pPr>
              <w:spacing w:line="480" w:lineRule="auto"/>
              <w:rPr>
                <w:bCs/>
                <w:szCs w:val="24"/>
                <w:lang w:eastAsia="cs-CZ"/>
              </w:rPr>
            </w:pPr>
            <w:r w:rsidRPr="007370B3">
              <w:rPr>
                <w:bCs/>
                <w:szCs w:val="24"/>
                <w:lang w:eastAsia="cs-CZ"/>
              </w:rPr>
              <w:t>Polarity of Working Capital Ratio</w:t>
            </w:r>
          </w:p>
        </w:tc>
        <w:tc>
          <w:tcPr>
            <w:tcW w:w="1027" w:type="pct"/>
            <w:vAlign w:val="bottom"/>
          </w:tcPr>
          <w:p w:rsidR="00DD509A" w:rsidRPr="007370B3" w:rsidRDefault="00DD509A" w:rsidP="00DD509A">
            <w:pPr>
              <w:spacing w:line="480" w:lineRule="auto"/>
              <w:rPr>
                <w:szCs w:val="24"/>
                <w:lang w:eastAsia="cs-CZ"/>
              </w:rPr>
            </w:pPr>
            <w:r w:rsidRPr="007370B3">
              <w:rPr>
                <w:szCs w:val="24"/>
                <w:lang w:eastAsia="cs-CZ"/>
              </w:rPr>
              <w:t>Positive Working Capital</w:t>
            </w:r>
          </w:p>
        </w:tc>
        <w:tc>
          <w:tcPr>
            <w:tcW w:w="677" w:type="pct"/>
            <w:vAlign w:val="bottom"/>
          </w:tcPr>
          <w:p w:rsidR="00DD509A" w:rsidRPr="007370B3" w:rsidRDefault="00DD509A" w:rsidP="00DD509A">
            <w:pPr>
              <w:spacing w:line="480" w:lineRule="auto"/>
              <w:rPr>
                <w:szCs w:val="24"/>
                <w:lang w:eastAsia="cs-CZ"/>
              </w:rPr>
            </w:pPr>
            <w:r w:rsidRPr="007370B3">
              <w:rPr>
                <w:szCs w:val="24"/>
                <w:lang w:eastAsia="cs-CZ"/>
              </w:rPr>
              <w:t>36.7%</w:t>
            </w:r>
          </w:p>
        </w:tc>
        <w:tc>
          <w:tcPr>
            <w:tcW w:w="862" w:type="pct"/>
            <w:vAlign w:val="bottom"/>
          </w:tcPr>
          <w:p w:rsidR="00DD509A" w:rsidRPr="007370B3" w:rsidRDefault="00DD509A" w:rsidP="00DD509A">
            <w:pPr>
              <w:spacing w:line="480" w:lineRule="auto"/>
              <w:rPr>
                <w:szCs w:val="24"/>
                <w:lang w:eastAsia="cs-CZ"/>
              </w:rPr>
            </w:pPr>
            <w:r w:rsidRPr="007370B3">
              <w:rPr>
                <w:szCs w:val="24"/>
                <w:lang w:eastAsia="cs-CZ"/>
              </w:rPr>
              <w:t>50.0%</w:t>
            </w:r>
          </w:p>
        </w:tc>
        <w:tc>
          <w:tcPr>
            <w:tcW w:w="551" w:type="pct"/>
            <w:vAlign w:val="bottom"/>
          </w:tcPr>
          <w:p w:rsidR="00DD509A" w:rsidRPr="007370B3" w:rsidRDefault="00DD509A" w:rsidP="00DD509A">
            <w:pPr>
              <w:spacing w:line="480" w:lineRule="auto"/>
              <w:rPr>
                <w:szCs w:val="24"/>
                <w:lang w:eastAsia="cs-CZ"/>
              </w:rPr>
            </w:pPr>
            <w:r w:rsidRPr="007370B3">
              <w:rPr>
                <w:szCs w:val="24"/>
                <w:lang w:eastAsia="cs-CZ"/>
              </w:rPr>
              <w:t>66.7%</w:t>
            </w:r>
          </w:p>
        </w:tc>
      </w:tr>
      <w:tr w:rsidR="00DD509A" w:rsidRPr="007370B3" w:rsidTr="00DD509A">
        <w:trPr>
          <w:trHeight w:val="346"/>
          <w:jc w:val="center"/>
        </w:trPr>
        <w:tc>
          <w:tcPr>
            <w:tcW w:w="1883" w:type="pct"/>
            <w:vMerge/>
            <w:vAlign w:val="center"/>
          </w:tcPr>
          <w:p w:rsidR="00DD509A" w:rsidRPr="007370B3" w:rsidRDefault="00DD509A" w:rsidP="00DD509A">
            <w:pPr>
              <w:spacing w:line="480" w:lineRule="auto"/>
              <w:rPr>
                <w:color w:val="000000"/>
                <w:szCs w:val="24"/>
                <w:lang w:eastAsia="cs-CZ"/>
              </w:rPr>
            </w:pPr>
          </w:p>
        </w:tc>
        <w:tc>
          <w:tcPr>
            <w:tcW w:w="1027" w:type="pct"/>
            <w:vAlign w:val="bottom"/>
          </w:tcPr>
          <w:p w:rsidR="00DD509A" w:rsidRPr="007370B3" w:rsidRDefault="00DD509A" w:rsidP="00DD509A">
            <w:pPr>
              <w:spacing w:line="480" w:lineRule="auto"/>
              <w:rPr>
                <w:szCs w:val="24"/>
                <w:lang w:eastAsia="cs-CZ"/>
              </w:rPr>
            </w:pPr>
            <w:r w:rsidRPr="007370B3">
              <w:rPr>
                <w:szCs w:val="24"/>
                <w:lang w:eastAsia="cs-CZ"/>
              </w:rPr>
              <w:t>Negative Working Capital</w:t>
            </w:r>
          </w:p>
        </w:tc>
        <w:tc>
          <w:tcPr>
            <w:tcW w:w="677" w:type="pct"/>
            <w:vAlign w:val="bottom"/>
          </w:tcPr>
          <w:p w:rsidR="00DD509A" w:rsidRPr="007370B3" w:rsidRDefault="00DD509A" w:rsidP="00DD509A">
            <w:pPr>
              <w:spacing w:line="480" w:lineRule="auto"/>
              <w:rPr>
                <w:szCs w:val="24"/>
                <w:lang w:eastAsia="cs-CZ"/>
              </w:rPr>
            </w:pPr>
            <w:r w:rsidRPr="007370B3">
              <w:rPr>
                <w:szCs w:val="24"/>
                <w:lang w:eastAsia="cs-CZ"/>
              </w:rPr>
              <w:t>63.3%</w:t>
            </w:r>
          </w:p>
        </w:tc>
        <w:tc>
          <w:tcPr>
            <w:tcW w:w="862" w:type="pct"/>
            <w:vAlign w:val="bottom"/>
          </w:tcPr>
          <w:p w:rsidR="00DD509A" w:rsidRPr="007370B3" w:rsidRDefault="00DD509A" w:rsidP="00DD509A">
            <w:pPr>
              <w:spacing w:line="480" w:lineRule="auto"/>
              <w:rPr>
                <w:szCs w:val="24"/>
                <w:lang w:eastAsia="cs-CZ"/>
              </w:rPr>
            </w:pPr>
            <w:r w:rsidRPr="007370B3">
              <w:rPr>
                <w:szCs w:val="24"/>
                <w:lang w:eastAsia="cs-CZ"/>
              </w:rPr>
              <w:t>50.0%</w:t>
            </w:r>
          </w:p>
        </w:tc>
        <w:tc>
          <w:tcPr>
            <w:tcW w:w="551" w:type="pct"/>
            <w:vAlign w:val="bottom"/>
          </w:tcPr>
          <w:p w:rsidR="00DD509A" w:rsidRPr="007370B3" w:rsidRDefault="00DD509A" w:rsidP="00DD509A">
            <w:pPr>
              <w:spacing w:line="480" w:lineRule="auto"/>
              <w:rPr>
                <w:szCs w:val="24"/>
                <w:lang w:eastAsia="cs-CZ"/>
              </w:rPr>
            </w:pPr>
            <w:r w:rsidRPr="007370B3">
              <w:rPr>
                <w:szCs w:val="24"/>
                <w:lang w:eastAsia="cs-CZ"/>
              </w:rPr>
              <w:t>33.3%</w:t>
            </w:r>
          </w:p>
        </w:tc>
      </w:tr>
      <w:tr w:rsidR="00DD509A" w:rsidRPr="007370B3" w:rsidTr="00DD509A">
        <w:trPr>
          <w:trHeight w:val="346"/>
          <w:jc w:val="center"/>
        </w:trPr>
        <w:tc>
          <w:tcPr>
            <w:tcW w:w="1883" w:type="pct"/>
            <w:vMerge w:val="restart"/>
            <w:vAlign w:val="center"/>
          </w:tcPr>
          <w:p w:rsidR="00DD509A" w:rsidRPr="007370B3" w:rsidRDefault="00DD509A" w:rsidP="00DD509A">
            <w:pPr>
              <w:spacing w:line="480" w:lineRule="auto"/>
              <w:rPr>
                <w:bCs/>
                <w:szCs w:val="24"/>
                <w:lang w:eastAsia="cs-CZ"/>
              </w:rPr>
            </w:pPr>
            <w:r w:rsidRPr="007370B3">
              <w:rPr>
                <w:bCs/>
                <w:szCs w:val="24"/>
                <w:lang w:eastAsia="cs-CZ"/>
              </w:rPr>
              <w:lastRenderedPageBreak/>
              <w:t>Polarity of Equity</w:t>
            </w:r>
          </w:p>
        </w:tc>
        <w:tc>
          <w:tcPr>
            <w:tcW w:w="1027" w:type="pct"/>
            <w:vAlign w:val="bottom"/>
          </w:tcPr>
          <w:p w:rsidR="00DD509A" w:rsidRPr="007370B3" w:rsidRDefault="00DD509A" w:rsidP="00DD509A">
            <w:pPr>
              <w:spacing w:line="480" w:lineRule="auto"/>
              <w:rPr>
                <w:szCs w:val="24"/>
                <w:lang w:eastAsia="cs-CZ"/>
              </w:rPr>
            </w:pPr>
            <w:r w:rsidRPr="007370B3">
              <w:rPr>
                <w:szCs w:val="24"/>
                <w:lang w:eastAsia="cs-CZ"/>
              </w:rPr>
              <w:t>Positive Equity</w:t>
            </w:r>
          </w:p>
        </w:tc>
        <w:tc>
          <w:tcPr>
            <w:tcW w:w="677" w:type="pct"/>
            <w:vAlign w:val="bottom"/>
          </w:tcPr>
          <w:p w:rsidR="00DD509A" w:rsidRPr="007370B3" w:rsidRDefault="00DD509A" w:rsidP="00DD509A">
            <w:pPr>
              <w:spacing w:line="480" w:lineRule="auto"/>
              <w:rPr>
                <w:szCs w:val="24"/>
                <w:lang w:eastAsia="cs-CZ"/>
              </w:rPr>
            </w:pPr>
            <w:r w:rsidRPr="007370B3">
              <w:rPr>
                <w:szCs w:val="24"/>
                <w:lang w:eastAsia="cs-CZ"/>
              </w:rPr>
              <w:t>26.7%</w:t>
            </w:r>
          </w:p>
        </w:tc>
        <w:tc>
          <w:tcPr>
            <w:tcW w:w="862" w:type="pct"/>
            <w:vAlign w:val="bottom"/>
          </w:tcPr>
          <w:p w:rsidR="00DD509A" w:rsidRPr="007370B3" w:rsidRDefault="00DD509A" w:rsidP="00DD509A">
            <w:pPr>
              <w:spacing w:line="480" w:lineRule="auto"/>
              <w:rPr>
                <w:szCs w:val="24"/>
                <w:lang w:eastAsia="cs-CZ"/>
              </w:rPr>
            </w:pPr>
            <w:r w:rsidRPr="007370B3">
              <w:rPr>
                <w:szCs w:val="24"/>
                <w:lang w:eastAsia="cs-CZ"/>
              </w:rPr>
              <w:t>52.4%</w:t>
            </w:r>
          </w:p>
        </w:tc>
        <w:tc>
          <w:tcPr>
            <w:tcW w:w="551" w:type="pct"/>
            <w:vAlign w:val="bottom"/>
          </w:tcPr>
          <w:p w:rsidR="00DD509A" w:rsidRPr="007370B3" w:rsidRDefault="00DD509A" w:rsidP="00DD509A">
            <w:pPr>
              <w:spacing w:line="480" w:lineRule="auto"/>
              <w:rPr>
                <w:szCs w:val="24"/>
                <w:lang w:eastAsia="cs-CZ"/>
              </w:rPr>
            </w:pPr>
            <w:r w:rsidRPr="007370B3">
              <w:rPr>
                <w:szCs w:val="24"/>
                <w:lang w:eastAsia="cs-CZ"/>
              </w:rPr>
              <w:t>62.5%</w:t>
            </w:r>
          </w:p>
        </w:tc>
      </w:tr>
      <w:tr w:rsidR="00DD509A" w:rsidRPr="007370B3" w:rsidTr="00DD509A">
        <w:trPr>
          <w:trHeight w:val="346"/>
          <w:jc w:val="center"/>
        </w:trPr>
        <w:tc>
          <w:tcPr>
            <w:tcW w:w="1883" w:type="pct"/>
            <w:vMerge/>
            <w:vAlign w:val="center"/>
          </w:tcPr>
          <w:p w:rsidR="00DD509A" w:rsidRPr="007370B3" w:rsidRDefault="00DD509A" w:rsidP="00DD509A">
            <w:pPr>
              <w:spacing w:line="480" w:lineRule="auto"/>
              <w:rPr>
                <w:color w:val="000000"/>
                <w:szCs w:val="24"/>
                <w:lang w:eastAsia="cs-CZ"/>
              </w:rPr>
            </w:pPr>
          </w:p>
        </w:tc>
        <w:tc>
          <w:tcPr>
            <w:tcW w:w="1027" w:type="pct"/>
            <w:vAlign w:val="bottom"/>
          </w:tcPr>
          <w:p w:rsidR="00DD509A" w:rsidRPr="007370B3" w:rsidRDefault="00DD509A" w:rsidP="00DD509A">
            <w:pPr>
              <w:spacing w:line="480" w:lineRule="auto"/>
              <w:rPr>
                <w:szCs w:val="24"/>
                <w:lang w:eastAsia="cs-CZ"/>
              </w:rPr>
            </w:pPr>
            <w:r w:rsidRPr="007370B3">
              <w:rPr>
                <w:szCs w:val="24"/>
                <w:lang w:eastAsia="cs-CZ"/>
              </w:rPr>
              <w:t>Negative Equity</w:t>
            </w:r>
          </w:p>
        </w:tc>
        <w:tc>
          <w:tcPr>
            <w:tcW w:w="677" w:type="pct"/>
            <w:vAlign w:val="bottom"/>
          </w:tcPr>
          <w:p w:rsidR="00DD509A" w:rsidRPr="007370B3" w:rsidRDefault="00DD509A" w:rsidP="00DD509A">
            <w:pPr>
              <w:spacing w:line="480" w:lineRule="auto"/>
              <w:rPr>
                <w:szCs w:val="24"/>
                <w:lang w:eastAsia="cs-CZ"/>
              </w:rPr>
            </w:pPr>
            <w:r w:rsidRPr="007370B3">
              <w:rPr>
                <w:szCs w:val="24"/>
                <w:lang w:eastAsia="cs-CZ"/>
              </w:rPr>
              <w:t>73.3%</w:t>
            </w:r>
          </w:p>
        </w:tc>
        <w:tc>
          <w:tcPr>
            <w:tcW w:w="862" w:type="pct"/>
            <w:vAlign w:val="bottom"/>
          </w:tcPr>
          <w:p w:rsidR="00DD509A" w:rsidRPr="007370B3" w:rsidRDefault="00DD509A" w:rsidP="00DD509A">
            <w:pPr>
              <w:spacing w:line="480" w:lineRule="auto"/>
              <w:rPr>
                <w:szCs w:val="24"/>
                <w:lang w:eastAsia="cs-CZ"/>
              </w:rPr>
            </w:pPr>
            <w:r w:rsidRPr="007370B3">
              <w:rPr>
                <w:szCs w:val="24"/>
                <w:lang w:eastAsia="cs-CZ"/>
              </w:rPr>
              <w:t>47.6%</w:t>
            </w:r>
          </w:p>
        </w:tc>
        <w:tc>
          <w:tcPr>
            <w:tcW w:w="551" w:type="pct"/>
            <w:vAlign w:val="bottom"/>
          </w:tcPr>
          <w:p w:rsidR="00DD509A" w:rsidRPr="007370B3" w:rsidRDefault="00DD509A" w:rsidP="00DD509A">
            <w:pPr>
              <w:spacing w:line="480" w:lineRule="auto"/>
              <w:rPr>
                <w:szCs w:val="24"/>
                <w:lang w:eastAsia="cs-CZ"/>
              </w:rPr>
            </w:pPr>
            <w:r w:rsidRPr="007370B3">
              <w:rPr>
                <w:szCs w:val="24"/>
                <w:lang w:eastAsia="cs-CZ"/>
              </w:rPr>
              <w:t>37.5%</w:t>
            </w:r>
          </w:p>
        </w:tc>
      </w:tr>
    </w:tbl>
    <w:p w:rsidR="00DD509A" w:rsidRPr="007370B3" w:rsidRDefault="00DD509A" w:rsidP="00DD509A">
      <w:pPr>
        <w:pStyle w:val="Paragraphbody0ident"/>
        <w:rPr>
          <w:sz w:val="24"/>
        </w:rPr>
      </w:pPr>
    </w:p>
    <w:p w:rsidR="007370B3" w:rsidRDefault="007370B3" w:rsidP="00DD509A">
      <w:pPr>
        <w:pStyle w:val="Tabletitle"/>
        <w:rPr>
          <w:sz w:val="24"/>
        </w:rPr>
      </w:pPr>
    </w:p>
    <w:p w:rsidR="007370B3" w:rsidRDefault="007370B3" w:rsidP="00DD509A">
      <w:pPr>
        <w:pStyle w:val="Tabletitle"/>
        <w:rPr>
          <w:sz w:val="24"/>
        </w:rPr>
      </w:pPr>
    </w:p>
    <w:p w:rsidR="00DD509A" w:rsidRPr="007370B3" w:rsidRDefault="00DD509A" w:rsidP="00DD509A">
      <w:pPr>
        <w:pStyle w:val="Tabletitle"/>
        <w:rPr>
          <w:sz w:val="24"/>
        </w:rPr>
      </w:pPr>
      <w:proofErr w:type="gramStart"/>
      <w:r w:rsidRPr="007370B3">
        <w:rPr>
          <w:sz w:val="24"/>
        </w:rPr>
        <w:t>Table 5.</w:t>
      </w:r>
      <w:proofErr w:type="gramEnd"/>
      <w:r w:rsidRPr="007370B3">
        <w:rPr>
          <w:sz w:val="24"/>
        </w:rPr>
        <w:t xml:space="preserve"> Absolute and relative frequencies of polarity in the case of needed </w:t>
      </w:r>
      <w:proofErr w:type="gramStart"/>
      <w:r w:rsidRPr="007370B3">
        <w:rPr>
          <w:sz w:val="24"/>
        </w:rPr>
        <w:t>cash</w:t>
      </w:r>
      <w:proofErr w:type="gramEnd"/>
      <w:r w:rsidRPr="007370B3">
        <w:rPr>
          <w:sz w:val="24"/>
        </w:rPr>
        <w:br/>
        <w:t>(source: author based on Bisnode Magnusweb)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774"/>
        <w:gridCol w:w="2654"/>
        <w:gridCol w:w="2654"/>
      </w:tblGrid>
      <w:tr w:rsidR="00DD509A" w:rsidRPr="007370B3" w:rsidTr="00DD509A">
        <w:trPr>
          <w:trHeight w:val="346"/>
          <w:jc w:val="center"/>
        </w:trPr>
        <w:tc>
          <w:tcPr>
            <w:tcW w:w="2078" w:type="pct"/>
            <w:vAlign w:val="center"/>
          </w:tcPr>
          <w:p w:rsidR="00DD509A" w:rsidRPr="007370B3" w:rsidRDefault="00DD509A" w:rsidP="00DD509A">
            <w:pPr>
              <w:spacing w:line="480" w:lineRule="auto"/>
              <w:jc w:val="center"/>
              <w:rPr>
                <w:szCs w:val="24"/>
                <w:lang w:eastAsia="cs-CZ"/>
              </w:rPr>
            </w:pPr>
          </w:p>
        </w:tc>
        <w:tc>
          <w:tcPr>
            <w:tcW w:w="1461" w:type="pct"/>
            <w:vAlign w:val="center"/>
          </w:tcPr>
          <w:p w:rsidR="00DD509A" w:rsidRPr="007370B3" w:rsidRDefault="00DD509A" w:rsidP="00DD509A">
            <w:pPr>
              <w:spacing w:line="480" w:lineRule="auto"/>
              <w:jc w:val="center"/>
              <w:rPr>
                <w:szCs w:val="24"/>
                <w:lang w:eastAsia="cs-CZ"/>
              </w:rPr>
            </w:pPr>
            <w:r w:rsidRPr="007370B3">
              <w:rPr>
                <w:szCs w:val="24"/>
                <w:lang w:eastAsia="cs-CZ"/>
              </w:rPr>
              <w:t>Frequency</w:t>
            </w:r>
          </w:p>
        </w:tc>
        <w:tc>
          <w:tcPr>
            <w:tcW w:w="1461" w:type="pct"/>
            <w:vAlign w:val="center"/>
          </w:tcPr>
          <w:p w:rsidR="00DD509A" w:rsidRPr="007370B3" w:rsidRDefault="00DD509A" w:rsidP="00DD509A">
            <w:pPr>
              <w:spacing w:line="480" w:lineRule="auto"/>
              <w:jc w:val="center"/>
              <w:rPr>
                <w:szCs w:val="24"/>
                <w:lang w:eastAsia="cs-CZ"/>
              </w:rPr>
            </w:pPr>
            <w:r w:rsidRPr="007370B3">
              <w:rPr>
                <w:szCs w:val="24"/>
                <w:lang w:eastAsia="cs-CZ"/>
              </w:rPr>
              <w:t>Percent</w:t>
            </w:r>
          </w:p>
        </w:tc>
      </w:tr>
      <w:tr w:rsidR="00DD509A" w:rsidRPr="007370B3" w:rsidTr="00DD509A">
        <w:trPr>
          <w:trHeight w:val="346"/>
          <w:jc w:val="center"/>
        </w:trPr>
        <w:tc>
          <w:tcPr>
            <w:tcW w:w="2078" w:type="pct"/>
            <w:vAlign w:val="center"/>
          </w:tcPr>
          <w:p w:rsidR="00DD509A" w:rsidRPr="007370B3" w:rsidRDefault="00DD509A" w:rsidP="00DD509A">
            <w:pPr>
              <w:spacing w:line="480" w:lineRule="auto"/>
              <w:rPr>
                <w:szCs w:val="24"/>
                <w:lang w:eastAsia="cs-CZ"/>
              </w:rPr>
            </w:pPr>
            <w:r w:rsidRPr="007370B3">
              <w:rPr>
                <w:szCs w:val="24"/>
                <w:lang w:eastAsia="cs-CZ"/>
              </w:rPr>
              <w:t>Cash Surplus</w:t>
            </w:r>
          </w:p>
        </w:tc>
        <w:tc>
          <w:tcPr>
            <w:tcW w:w="1461" w:type="pct"/>
            <w:vAlign w:val="center"/>
          </w:tcPr>
          <w:p w:rsidR="00DD509A" w:rsidRPr="007370B3" w:rsidRDefault="00DD509A" w:rsidP="00DD509A">
            <w:pPr>
              <w:spacing w:line="480" w:lineRule="auto"/>
              <w:rPr>
                <w:szCs w:val="24"/>
                <w:lang w:eastAsia="cs-CZ"/>
              </w:rPr>
            </w:pPr>
            <w:r w:rsidRPr="007370B3">
              <w:rPr>
                <w:szCs w:val="24"/>
                <w:lang w:eastAsia="cs-CZ"/>
              </w:rPr>
              <w:t>23</w:t>
            </w:r>
          </w:p>
        </w:tc>
        <w:tc>
          <w:tcPr>
            <w:tcW w:w="1461" w:type="pct"/>
            <w:vAlign w:val="center"/>
          </w:tcPr>
          <w:p w:rsidR="00DD509A" w:rsidRPr="007370B3" w:rsidRDefault="00DD509A" w:rsidP="00DD509A">
            <w:pPr>
              <w:spacing w:line="480" w:lineRule="auto"/>
              <w:rPr>
                <w:szCs w:val="24"/>
                <w:lang w:eastAsia="cs-CZ"/>
              </w:rPr>
            </w:pPr>
            <w:r w:rsidRPr="007370B3">
              <w:rPr>
                <w:szCs w:val="24"/>
                <w:lang w:eastAsia="cs-CZ"/>
              </w:rPr>
              <w:t>19.2%</w:t>
            </w:r>
          </w:p>
        </w:tc>
      </w:tr>
      <w:tr w:rsidR="00DD509A" w:rsidRPr="007370B3" w:rsidTr="00DD509A">
        <w:trPr>
          <w:trHeight w:val="346"/>
          <w:jc w:val="center"/>
        </w:trPr>
        <w:tc>
          <w:tcPr>
            <w:tcW w:w="2078" w:type="pct"/>
            <w:vAlign w:val="center"/>
          </w:tcPr>
          <w:p w:rsidR="00DD509A" w:rsidRPr="007370B3" w:rsidRDefault="00DD509A" w:rsidP="00DD509A">
            <w:pPr>
              <w:spacing w:line="480" w:lineRule="auto"/>
              <w:rPr>
                <w:szCs w:val="24"/>
                <w:lang w:eastAsia="cs-CZ"/>
              </w:rPr>
            </w:pPr>
            <w:r w:rsidRPr="007370B3">
              <w:rPr>
                <w:szCs w:val="24"/>
                <w:lang w:eastAsia="cs-CZ"/>
              </w:rPr>
              <w:t>Cash Deficit</w:t>
            </w:r>
          </w:p>
        </w:tc>
        <w:tc>
          <w:tcPr>
            <w:tcW w:w="1461" w:type="pct"/>
            <w:vAlign w:val="center"/>
          </w:tcPr>
          <w:p w:rsidR="00DD509A" w:rsidRPr="007370B3" w:rsidRDefault="00DD509A" w:rsidP="00DD509A">
            <w:pPr>
              <w:spacing w:line="480" w:lineRule="auto"/>
              <w:rPr>
                <w:szCs w:val="24"/>
                <w:lang w:eastAsia="cs-CZ"/>
              </w:rPr>
            </w:pPr>
            <w:r w:rsidRPr="007370B3">
              <w:rPr>
                <w:szCs w:val="24"/>
                <w:lang w:eastAsia="cs-CZ"/>
              </w:rPr>
              <w:t>97</w:t>
            </w:r>
          </w:p>
        </w:tc>
        <w:tc>
          <w:tcPr>
            <w:tcW w:w="1461" w:type="pct"/>
            <w:vAlign w:val="center"/>
          </w:tcPr>
          <w:p w:rsidR="00DD509A" w:rsidRPr="007370B3" w:rsidRDefault="00DD509A" w:rsidP="00DD509A">
            <w:pPr>
              <w:spacing w:line="480" w:lineRule="auto"/>
              <w:rPr>
                <w:szCs w:val="24"/>
                <w:lang w:eastAsia="cs-CZ"/>
              </w:rPr>
            </w:pPr>
            <w:r w:rsidRPr="007370B3">
              <w:rPr>
                <w:szCs w:val="24"/>
                <w:lang w:eastAsia="cs-CZ"/>
              </w:rPr>
              <w:t>80.8%</w:t>
            </w:r>
          </w:p>
        </w:tc>
      </w:tr>
      <w:tr w:rsidR="00DD509A" w:rsidRPr="007370B3" w:rsidTr="00DD509A">
        <w:trPr>
          <w:trHeight w:val="346"/>
          <w:jc w:val="center"/>
        </w:trPr>
        <w:tc>
          <w:tcPr>
            <w:tcW w:w="2078" w:type="pct"/>
            <w:vAlign w:val="center"/>
          </w:tcPr>
          <w:p w:rsidR="00DD509A" w:rsidRPr="007370B3" w:rsidRDefault="00DD509A" w:rsidP="00DD509A">
            <w:pPr>
              <w:spacing w:line="480" w:lineRule="auto"/>
              <w:rPr>
                <w:szCs w:val="24"/>
                <w:lang w:eastAsia="cs-CZ"/>
              </w:rPr>
            </w:pPr>
            <w:r w:rsidRPr="007370B3">
              <w:rPr>
                <w:szCs w:val="24"/>
                <w:lang w:eastAsia="cs-CZ"/>
              </w:rPr>
              <w:t>Total</w:t>
            </w:r>
          </w:p>
        </w:tc>
        <w:tc>
          <w:tcPr>
            <w:tcW w:w="1461" w:type="pct"/>
            <w:vAlign w:val="center"/>
          </w:tcPr>
          <w:p w:rsidR="00DD509A" w:rsidRPr="007370B3" w:rsidRDefault="00DD509A" w:rsidP="00DD509A">
            <w:pPr>
              <w:spacing w:line="480" w:lineRule="auto"/>
              <w:rPr>
                <w:szCs w:val="24"/>
                <w:lang w:eastAsia="cs-CZ"/>
              </w:rPr>
            </w:pPr>
            <w:r w:rsidRPr="007370B3">
              <w:rPr>
                <w:szCs w:val="24"/>
                <w:lang w:eastAsia="cs-CZ"/>
              </w:rPr>
              <w:t>120</w:t>
            </w:r>
          </w:p>
        </w:tc>
        <w:tc>
          <w:tcPr>
            <w:tcW w:w="1461" w:type="pct"/>
            <w:vAlign w:val="center"/>
          </w:tcPr>
          <w:p w:rsidR="00DD509A" w:rsidRPr="007370B3" w:rsidRDefault="00DD509A" w:rsidP="00DD509A">
            <w:pPr>
              <w:spacing w:line="480" w:lineRule="auto"/>
              <w:rPr>
                <w:szCs w:val="24"/>
                <w:lang w:eastAsia="cs-CZ"/>
              </w:rPr>
            </w:pPr>
            <w:r w:rsidRPr="007370B3">
              <w:rPr>
                <w:szCs w:val="24"/>
                <w:lang w:eastAsia="cs-CZ"/>
              </w:rPr>
              <w:t>100.0%</w:t>
            </w:r>
          </w:p>
        </w:tc>
      </w:tr>
    </w:tbl>
    <w:p w:rsidR="00DD509A" w:rsidRPr="007370B3" w:rsidRDefault="00DD509A" w:rsidP="00DD509A">
      <w:pPr>
        <w:pStyle w:val="Paragraphbody0ident"/>
        <w:rPr>
          <w:sz w:val="24"/>
        </w:rPr>
      </w:pPr>
    </w:p>
    <w:p w:rsidR="00DD509A" w:rsidRPr="007370B3" w:rsidRDefault="00DD509A" w:rsidP="007370B3">
      <w:pPr>
        <w:pStyle w:val="Paragraphbody0ident"/>
        <w:spacing w:before="120" w:after="120"/>
        <w:rPr>
          <w:sz w:val="24"/>
        </w:rPr>
      </w:pPr>
      <w:r w:rsidRPr="007370B3">
        <w:rPr>
          <w:sz w:val="24"/>
        </w:rPr>
        <w:t>The worst results gained were for the indicator expressing the level of cash liquidity. These values are unsatisfactory for the whole analyzed time period. The results above can be expanded by absolute and relative polarity frequencies of this indicator. The results can be found in table 5 below.</w:t>
      </w:r>
    </w:p>
    <w:p w:rsidR="00DD509A" w:rsidRPr="007370B3" w:rsidRDefault="00DD509A" w:rsidP="007370B3">
      <w:pPr>
        <w:pStyle w:val="Paragraphbody0ident"/>
        <w:spacing w:before="120" w:after="120"/>
        <w:ind w:firstLine="284"/>
        <w:rPr>
          <w:sz w:val="24"/>
        </w:rPr>
      </w:pPr>
      <w:r w:rsidRPr="007370B3">
        <w:rPr>
          <w:sz w:val="24"/>
        </w:rPr>
        <w:t>As a result of the analysis, the majority of companies showed a cash deficit. This means that their cash (immediate) liquidity did not reach the required level of 15%. This indicates potential solvency problems for the majority of businesses. This cash liquidity will be further analyzed in a relation to other indicators. The frequency analysis was used and the results gained are displayed in table 6 below.</w:t>
      </w:r>
    </w:p>
    <w:p w:rsidR="00DD509A" w:rsidRPr="007370B3" w:rsidRDefault="00DD509A" w:rsidP="00DD509A">
      <w:pPr>
        <w:pStyle w:val="Tabletitle"/>
        <w:rPr>
          <w:sz w:val="24"/>
        </w:rPr>
      </w:pPr>
      <w:proofErr w:type="gramStart"/>
      <w:r w:rsidRPr="007370B3">
        <w:rPr>
          <w:sz w:val="24"/>
        </w:rPr>
        <w:t>Table 6.</w:t>
      </w:r>
      <w:proofErr w:type="gramEnd"/>
      <w:r w:rsidRPr="007370B3">
        <w:rPr>
          <w:sz w:val="24"/>
        </w:rPr>
        <w:t xml:space="preserve"> Relative polarity frequencies of cash liquidity to other </w:t>
      </w:r>
      <w:proofErr w:type="gramStart"/>
      <w:r w:rsidRPr="007370B3">
        <w:rPr>
          <w:sz w:val="24"/>
        </w:rPr>
        <w:t>indicators</w:t>
      </w:r>
      <w:proofErr w:type="gramEnd"/>
      <w:r w:rsidRPr="007370B3">
        <w:rPr>
          <w:sz w:val="24"/>
        </w:rPr>
        <w:br/>
        <w:t>(source: author based on Bisnode Magnusweb)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921"/>
        <w:gridCol w:w="2054"/>
        <w:gridCol w:w="2054"/>
        <w:gridCol w:w="2053"/>
      </w:tblGrid>
      <w:tr w:rsidR="00DD509A" w:rsidRPr="007370B3" w:rsidTr="007370B3">
        <w:trPr>
          <w:trHeight w:val="346"/>
          <w:jc w:val="center"/>
        </w:trPr>
        <w:tc>
          <w:tcPr>
            <w:tcW w:w="2739" w:type="pct"/>
            <w:gridSpan w:val="2"/>
            <w:vAlign w:val="center"/>
          </w:tcPr>
          <w:p w:rsidR="00DD509A" w:rsidRPr="007370B3" w:rsidRDefault="00DD509A" w:rsidP="00DD509A">
            <w:pPr>
              <w:spacing w:line="480" w:lineRule="auto"/>
              <w:jc w:val="center"/>
              <w:rPr>
                <w:szCs w:val="24"/>
                <w:lang w:eastAsia="cs-CZ"/>
              </w:rPr>
            </w:pPr>
          </w:p>
        </w:tc>
        <w:tc>
          <w:tcPr>
            <w:tcW w:w="1131" w:type="pct"/>
            <w:vAlign w:val="center"/>
          </w:tcPr>
          <w:p w:rsidR="00DD509A" w:rsidRPr="007370B3" w:rsidRDefault="00DD509A" w:rsidP="00DD509A">
            <w:pPr>
              <w:spacing w:line="480" w:lineRule="auto"/>
              <w:jc w:val="center"/>
              <w:rPr>
                <w:szCs w:val="24"/>
                <w:lang w:eastAsia="cs-CZ"/>
              </w:rPr>
            </w:pPr>
            <w:r w:rsidRPr="007370B3">
              <w:rPr>
                <w:szCs w:val="24"/>
                <w:lang w:eastAsia="cs-CZ"/>
              </w:rPr>
              <w:t>Cash Surplus</w:t>
            </w:r>
          </w:p>
        </w:tc>
        <w:tc>
          <w:tcPr>
            <w:tcW w:w="1130" w:type="pct"/>
            <w:vAlign w:val="center"/>
          </w:tcPr>
          <w:p w:rsidR="00DD509A" w:rsidRPr="007370B3" w:rsidRDefault="00DD509A" w:rsidP="00DD509A">
            <w:pPr>
              <w:spacing w:line="480" w:lineRule="auto"/>
              <w:jc w:val="center"/>
              <w:rPr>
                <w:szCs w:val="24"/>
                <w:lang w:eastAsia="cs-CZ"/>
              </w:rPr>
            </w:pPr>
            <w:r w:rsidRPr="007370B3">
              <w:rPr>
                <w:szCs w:val="24"/>
                <w:lang w:eastAsia="cs-CZ"/>
              </w:rPr>
              <w:t>Cash Deficit</w:t>
            </w:r>
          </w:p>
        </w:tc>
      </w:tr>
      <w:tr w:rsidR="00DD509A" w:rsidRPr="007370B3" w:rsidTr="007370B3">
        <w:trPr>
          <w:trHeight w:val="346"/>
          <w:jc w:val="center"/>
        </w:trPr>
        <w:tc>
          <w:tcPr>
            <w:tcW w:w="1608" w:type="pct"/>
            <w:vMerge w:val="restart"/>
            <w:vAlign w:val="center"/>
          </w:tcPr>
          <w:p w:rsidR="00DD509A" w:rsidRPr="007370B3" w:rsidRDefault="00DD509A" w:rsidP="00DD509A">
            <w:pPr>
              <w:spacing w:line="480" w:lineRule="auto"/>
              <w:rPr>
                <w:b/>
                <w:bCs/>
                <w:szCs w:val="24"/>
                <w:lang w:eastAsia="cs-CZ"/>
              </w:rPr>
            </w:pPr>
            <w:r w:rsidRPr="007370B3">
              <w:rPr>
                <w:b/>
                <w:bCs/>
                <w:szCs w:val="24"/>
                <w:lang w:eastAsia="cs-CZ"/>
              </w:rPr>
              <w:t>Polarity of EBITDA</w:t>
            </w:r>
          </w:p>
        </w:tc>
        <w:tc>
          <w:tcPr>
            <w:tcW w:w="1131" w:type="pct"/>
            <w:vAlign w:val="bottom"/>
          </w:tcPr>
          <w:p w:rsidR="00DD509A" w:rsidRPr="007370B3" w:rsidRDefault="00DD509A" w:rsidP="00DD509A">
            <w:pPr>
              <w:spacing w:line="480" w:lineRule="auto"/>
              <w:rPr>
                <w:szCs w:val="24"/>
                <w:lang w:eastAsia="cs-CZ"/>
              </w:rPr>
            </w:pPr>
            <w:r w:rsidRPr="007370B3">
              <w:rPr>
                <w:szCs w:val="24"/>
                <w:lang w:eastAsia="cs-CZ"/>
              </w:rPr>
              <w:t>Positive EBITDA</w:t>
            </w:r>
          </w:p>
        </w:tc>
        <w:tc>
          <w:tcPr>
            <w:tcW w:w="1131" w:type="pct"/>
            <w:vAlign w:val="center"/>
          </w:tcPr>
          <w:p w:rsidR="00DD509A" w:rsidRPr="007370B3" w:rsidRDefault="00DD509A" w:rsidP="00DD509A">
            <w:pPr>
              <w:spacing w:line="480" w:lineRule="auto"/>
              <w:rPr>
                <w:b/>
                <w:szCs w:val="24"/>
                <w:lang w:eastAsia="cs-CZ"/>
              </w:rPr>
            </w:pPr>
            <w:r w:rsidRPr="007370B3">
              <w:rPr>
                <w:b/>
                <w:szCs w:val="24"/>
                <w:lang w:eastAsia="cs-CZ"/>
              </w:rPr>
              <w:t>60.9%</w:t>
            </w:r>
          </w:p>
        </w:tc>
        <w:tc>
          <w:tcPr>
            <w:tcW w:w="1130" w:type="pct"/>
            <w:vAlign w:val="center"/>
          </w:tcPr>
          <w:p w:rsidR="00DD509A" w:rsidRPr="007370B3" w:rsidRDefault="00DD509A" w:rsidP="00DD509A">
            <w:pPr>
              <w:spacing w:line="480" w:lineRule="auto"/>
              <w:rPr>
                <w:szCs w:val="24"/>
                <w:lang w:eastAsia="cs-CZ"/>
              </w:rPr>
            </w:pPr>
            <w:r w:rsidRPr="007370B3">
              <w:rPr>
                <w:szCs w:val="24"/>
                <w:lang w:eastAsia="cs-CZ"/>
              </w:rPr>
              <w:t>34.0%</w:t>
            </w:r>
          </w:p>
        </w:tc>
      </w:tr>
      <w:tr w:rsidR="00DD509A" w:rsidRPr="007370B3" w:rsidTr="007370B3">
        <w:trPr>
          <w:trHeight w:val="346"/>
          <w:jc w:val="center"/>
        </w:trPr>
        <w:tc>
          <w:tcPr>
            <w:tcW w:w="1608" w:type="pct"/>
            <w:vMerge/>
            <w:vAlign w:val="center"/>
          </w:tcPr>
          <w:p w:rsidR="00DD509A" w:rsidRPr="007370B3" w:rsidRDefault="00DD509A" w:rsidP="00DD509A">
            <w:pPr>
              <w:spacing w:line="480" w:lineRule="auto"/>
              <w:rPr>
                <w:szCs w:val="24"/>
                <w:lang w:eastAsia="cs-CZ"/>
              </w:rPr>
            </w:pPr>
          </w:p>
        </w:tc>
        <w:tc>
          <w:tcPr>
            <w:tcW w:w="1131" w:type="pct"/>
            <w:vAlign w:val="bottom"/>
          </w:tcPr>
          <w:p w:rsidR="00DD509A" w:rsidRPr="007370B3" w:rsidRDefault="00DD509A" w:rsidP="00DD509A">
            <w:pPr>
              <w:spacing w:line="480" w:lineRule="auto"/>
              <w:rPr>
                <w:szCs w:val="24"/>
                <w:lang w:eastAsia="cs-CZ"/>
              </w:rPr>
            </w:pPr>
            <w:r w:rsidRPr="007370B3">
              <w:rPr>
                <w:szCs w:val="24"/>
                <w:lang w:eastAsia="cs-CZ"/>
              </w:rPr>
              <w:t>Negative EBITDA</w:t>
            </w:r>
          </w:p>
        </w:tc>
        <w:tc>
          <w:tcPr>
            <w:tcW w:w="1131" w:type="pct"/>
            <w:vAlign w:val="center"/>
          </w:tcPr>
          <w:p w:rsidR="00DD509A" w:rsidRPr="007370B3" w:rsidRDefault="00DD509A" w:rsidP="00DD509A">
            <w:pPr>
              <w:spacing w:line="480" w:lineRule="auto"/>
              <w:rPr>
                <w:szCs w:val="24"/>
                <w:lang w:eastAsia="cs-CZ"/>
              </w:rPr>
            </w:pPr>
            <w:r w:rsidRPr="007370B3">
              <w:rPr>
                <w:szCs w:val="24"/>
                <w:lang w:eastAsia="cs-CZ"/>
              </w:rPr>
              <w:t>39.1%</w:t>
            </w:r>
          </w:p>
        </w:tc>
        <w:tc>
          <w:tcPr>
            <w:tcW w:w="1130" w:type="pct"/>
            <w:vAlign w:val="center"/>
          </w:tcPr>
          <w:p w:rsidR="00DD509A" w:rsidRPr="007370B3" w:rsidRDefault="00DD509A" w:rsidP="00DD509A">
            <w:pPr>
              <w:spacing w:line="480" w:lineRule="auto"/>
              <w:rPr>
                <w:b/>
                <w:szCs w:val="24"/>
                <w:lang w:eastAsia="cs-CZ"/>
              </w:rPr>
            </w:pPr>
            <w:r w:rsidRPr="007370B3">
              <w:rPr>
                <w:b/>
                <w:szCs w:val="24"/>
                <w:lang w:eastAsia="cs-CZ"/>
              </w:rPr>
              <w:t>66.0%</w:t>
            </w:r>
          </w:p>
        </w:tc>
      </w:tr>
      <w:tr w:rsidR="00DD509A" w:rsidRPr="007370B3" w:rsidTr="007370B3">
        <w:trPr>
          <w:trHeight w:val="346"/>
          <w:jc w:val="center"/>
        </w:trPr>
        <w:tc>
          <w:tcPr>
            <w:tcW w:w="1608" w:type="pct"/>
            <w:vMerge w:val="restart"/>
            <w:vAlign w:val="center"/>
          </w:tcPr>
          <w:p w:rsidR="00DD509A" w:rsidRPr="007370B3" w:rsidRDefault="00DD509A" w:rsidP="00DD509A">
            <w:pPr>
              <w:spacing w:line="480" w:lineRule="auto"/>
              <w:rPr>
                <w:b/>
                <w:bCs/>
                <w:szCs w:val="24"/>
                <w:lang w:eastAsia="cs-CZ"/>
              </w:rPr>
            </w:pPr>
            <w:r w:rsidRPr="007370B3">
              <w:rPr>
                <w:b/>
                <w:bCs/>
                <w:szCs w:val="24"/>
                <w:lang w:eastAsia="cs-CZ"/>
              </w:rPr>
              <w:t>Polarity of Working Capital Ratio</w:t>
            </w:r>
          </w:p>
        </w:tc>
        <w:tc>
          <w:tcPr>
            <w:tcW w:w="1131" w:type="pct"/>
            <w:vAlign w:val="bottom"/>
          </w:tcPr>
          <w:p w:rsidR="00DD509A" w:rsidRPr="007370B3" w:rsidRDefault="00DD509A" w:rsidP="00DD509A">
            <w:pPr>
              <w:spacing w:line="480" w:lineRule="auto"/>
              <w:rPr>
                <w:szCs w:val="24"/>
                <w:lang w:eastAsia="cs-CZ"/>
              </w:rPr>
            </w:pPr>
            <w:r w:rsidRPr="007370B3">
              <w:rPr>
                <w:szCs w:val="24"/>
                <w:lang w:eastAsia="cs-CZ"/>
              </w:rPr>
              <w:t>Positive Working Capital</w:t>
            </w:r>
          </w:p>
        </w:tc>
        <w:tc>
          <w:tcPr>
            <w:tcW w:w="1131" w:type="pct"/>
            <w:vAlign w:val="center"/>
          </w:tcPr>
          <w:p w:rsidR="00DD509A" w:rsidRPr="007370B3" w:rsidRDefault="00DD509A" w:rsidP="00DD509A">
            <w:pPr>
              <w:spacing w:line="480" w:lineRule="auto"/>
              <w:rPr>
                <w:b/>
                <w:szCs w:val="24"/>
                <w:lang w:eastAsia="cs-CZ"/>
              </w:rPr>
            </w:pPr>
            <w:r w:rsidRPr="007370B3">
              <w:rPr>
                <w:b/>
                <w:szCs w:val="24"/>
                <w:lang w:eastAsia="cs-CZ"/>
              </w:rPr>
              <w:t>82.6%</w:t>
            </w:r>
          </w:p>
        </w:tc>
        <w:tc>
          <w:tcPr>
            <w:tcW w:w="1130" w:type="pct"/>
            <w:vAlign w:val="center"/>
          </w:tcPr>
          <w:p w:rsidR="00DD509A" w:rsidRPr="007370B3" w:rsidRDefault="00DD509A" w:rsidP="00DD509A">
            <w:pPr>
              <w:spacing w:line="480" w:lineRule="auto"/>
              <w:rPr>
                <w:szCs w:val="24"/>
                <w:lang w:eastAsia="cs-CZ"/>
              </w:rPr>
            </w:pPr>
            <w:r w:rsidRPr="007370B3">
              <w:rPr>
                <w:szCs w:val="24"/>
                <w:lang w:eastAsia="cs-CZ"/>
              </w:rPr>
              <w:t>46.4%</w:t>
            </w:r>
          </w:p>
        </w:tc>
      </w:tr>
      <w:tr w:rsidR="00DD509A" w:rsidRPr="007370B3" w:rsidTr="007370B3">
        <w:trPr>
          <w:trHeight w:val="346"/>
          <w:jc w:val="center"/>
        </w:trPr>
        <w:tc>
          <w:tcPr>
            <w:tcW w:w="1608" w:type="pct"/>
            <w:vMerge/>
            <w:vAlign w:val="center"/>
          </w:tcPr>
          <w:p w:rsidR="00DD509A" w:rsidRPr="007370B3" w:rsidRDefault="00DD509A" w:rsidP="00DD509A">
            <w:pPr>
              <w:spacing w:line="480" w:lineRule="auto"/>
              <w:rPr>
                <w:szCs w:val="24"/>
                <w:lang w:eastAsia="cs-CZ"/>
              </w:rPr>
            </w:pPr>
          </w:p>
        </w:tc>
        <w:tc>
          <w:tcPr>
            <w:tcW w:w="1131" w:type="pct"/>
            <w:vAlign w:val="bottom"/>
          </w:tcPr>
          <w:p w:rsidR="00DD509A" w:rsidRPr="007370B3" w:rsidRDefault="00DD509A" w:rsidP="00DD509A">
            <w:pPr>
              <w:spacing w:line="480" w:lineRule="auto"/>
              <w:rPr>
                <w:szCs w:val="24"/>
                <w:lang w:eastAsia="cs-CZ"/>
              </w:rPr>
            </w:pPr>
            <w:r w:rsidRPr="007370B3">
              <w:rPr>
                <w:szCs w:val="24"/>
                <w:lang w:eastAsia="cs-CZ"/>
              </w:rPr>
              <w:t>Negative Working Capital</w:t>
            </w:r>
          </w:p>
        </w:tc>
        <w:tc>
          <w:tcPr>
            <w:tcW w:w="1131" w:type="pct"/>
            <w:vAlign w:val="center"/>
          </w:tcPr>
          <w:p w:rsidR="00DD509A" w:rsidRPr="007370B3" w:rsidRDefault="00DD509A" w:rsidP="00DD509A">
            <w:pPr>
              <w:spacing w:line="480" w:lineRule="auto"/>
              <w:rPr>
                <w:szCs w:val="24"/>
                <w:lang w:eastAsia="cs-CZ"/>
              </w:rPr>
            </w:pPr>
            <w:r w:rsidRPr="007370B3">
              <w:rPr>
                <w:szCs w:val="24"/>
                <w:lang w:eastAsia="cs-CZ"/>
              </w:rPr>
              <w:t>17.4%</w:t>
            </w:r>
          </w:p>
        </w:tc>
        <w:tc>
          <w:tcPr>
            <w:tcW w:w="1130" w:type="pct"/>
            <w:vAlign w:val="center"/>
          </w:tcPr>
          <w:p w:rsidR="00DD509A" w:rsidRPr="007370B3" w:rsidRDefault="00DD509A" w:rsidP="00DD509A">
            <w:pPr>
              <w:spacing w:line="480" w:lineRule="auto"/>
              <w:rPr>
                <w:b/>
                <w:szCs w:val="24"/>
                <w:lang w:eastAsia="cs-CZ"/>
              </w:rPr>
            </w:pPr>
            <w:r w:rsidRPr="007370B3">
              <w:rPr>
                <w:b/>
                <w:szCs w:val="24"/>
                <w:lang w:eastAsia="cs-CZ"/>
              </w:rPr>
              <w:t>53.6%</w:t>
            </w:r>
          </w:p>
        </w:tc>
      </w:tr>
      <w:tr w:rsidR="00DD509A" w:rsidRPr="007370B3" w:rsidTr="007370B3">
        <w:trPr>
          <w:trHeight w:val="346"/>
          <w:jc w:val="center"/>
        </w:trPr>
        <w:tc>
          <w:tcPr>
            <w:tcW w:w="1608" w:type="pct"/>
            <w:vMerge w:val="restart"/>
            <w:vAlign w:val="center"/>
          </w:tcPr>
          <w:p w:rsidR="00DD509A" w:rsidRPr="007370B3" w:rsidRDefault="00DD509A" w:rsidP="00DD509A">
            <w:pPr>
              <w:spacing w:line="480" w:lineRule="auto"/>
              <w:rPr>
                <w:b/>
                <w:bCs/>
                <w:szCs w:val="24"/>
                <w:lang w:eastAsia="cs-CZ"/>
              </w:rPr>
            </w:pPr>
            <w:r w:rsidRPr="007370B3">
              <w:rPr>
                <w:b/>
                <w:bCs/>
                <w:szCs w:val="24"/>
                <w:lang w:eastAsia="cs-CZ"/>
              </w:rPr>
              <w:t>Polarity of Equity</w:t>
            </w:r>
          </w:p>
        </w:tc>
        <w:tc>
          <w:tcPr>
            <w:tcW w:w="1131" w:type="pct"/>
            <w:vAlign w:val="bottom"/>
          </w:tcPr>
          <w:p w:rsidR="00DD509A" w:rsidRPr="007370B3" w:rsidRDefault="00DD509A" w:rsidP="00DD509A">
            <w:pPr>
              <w:spacing w:line="480" w:lineRule="auto"/>
              <w:rPr>
                <w:szCs w:val="24"/>
                <w:lang w:eastAsia="cs-CZ"/>
              </w:rPr>
            </w:pPr>
            <w:r w:rsidRPr="007370B3">
              <w:rPr>
                <w:szCs w:val="24"/>
                <w:lang w:eastAsia="cs-CZ"/>
              </w:rPr>
              <w:t>Positive Equity</w:t>
            </w:r>
          </w:p>
        </w:tc>
        <w:tc>
          <w:tcPr>
            <w:tcW w:w="1131" w:type="pct"/>
            <w:vAlign w:val="center"/>
          </w:tcPr>
          <w:p w:rsidR="00DD509A" w:rsidRPr="007370B3" w:rsidRDefault="00DD509A" w:rsidP="00DD509A">
            <w:pPr>
              <w:spacing w:line="480" w:lineRule="auto"/>
              <w:rPr>
                <w:b/>
                <w:szCs w:val="24"/>
                <w:lang w:eastAsia="cs-CZ"/>
              </w:rPr>
            </w:pPr>
            <w:r w:rsidRPr="007370B3">
              <w:rPr>
                <w:b/>
                <w:szCs w:val="24"/>
                <w:lang w:eastAsia="cs-CZ"/>
              </w:rPr>
              <w:t>69.6%</w:t>
            </w:r>
          </w:p>
        </w:tc>
        <w:tc>
          <w:tcPr>
            <w:tcW w:w="1130" w:type="pct"/>
            <w:vAlign w:val="center"/>
          </w:tcPr>
          <w:p w:rsidR="00DD509A" w:rsidRPr="007370B3" w:rsidRDefault="00DD509A" w:rsidP="00DD509A">
            <w:pPr>
              <w:spacing w:line="480" w:lineRule="auto"/>
              <w:rPr>
                <w:szCs w:val="24"/>
                <w:lang w:eastAsia="cs-CZ"/>
              </w:rPr>
            </w:pPr>
            <w:r w:rsidRPr="007370B3">
              <w:rPr>
                <w:szCs w:val="24"/>
                <w:lang w:eastAsia="cs-CZ"/>
              </w:rPr>
              <w:t>45.4%</w:t>
            </w:r>
          </w:p>
        </w:tc>
      </w:tr>
      <w:tr w:rsidR="00DD509A" w:rsidRPr="007370B3" w:rsidTr="007370B3">
        <w:trPr>
          <w:trHeight w:val="346"/>
          <w:jc w:val="center"/>
        </w:trPr>
        <w:tc>
          <w:tcPr>
            <w:tcW w:w="1608" w:type="pct"/>
            <w:vMerge/>
            <w:vAlign w:val="center"/>
          </w:tcPr>
          <w:p w:rsidR="00DD509A" w:rsidRPr="007370B3" w:rsidRDefault="00DD509A" w:rsidP="00DD509A">
            <w:pPr>
              <w:spacing w:line="480" w:lineRule="auto"/>
              <w:rPr>
                <w:szCs w:val="24"/>
                <w:lang w:eastAsia="cs-CZ"/>
              </w:rPr>
            </w:pPr>
          </w:p>
        </w:tc>
        <w:tc>
          <w:tcPr>
            <w:tcW w:w="1131" w:type="pct"/>
            <w:vAlign w:val="bottom"/>
          </w:tcPr>
          <w:p w:rsidR="00DD509A" w:rsidRPr="007370B3" w:rsidRDefault="00DD509A" w:rsidP="00DD509A">
            <w:pPr>
              <w:spacing w:line="480" w:lineRule="auto"/>
              <w:rPr>
                <w:szCs w:val="24"/>
                <w:lang w:eastAsia="cs-CZ"/>
              </w:rPr>
            </w:pPr>
            <w:r w:rsidRPr="007370B3">
              <w:rPr>
                <w:szCs w:val="24"/>
                <w:lang w:eastAsia="cs-CZ"/>
              </w:rPr>
              <w:t>Negative Equity</w:t>
            </w:r>
          </w:p>
        </w:tc>
        <w:tc>
          <w:tcPr>
            <w:tcW w:w="1131" w:type="pct"/>
            <w:vAlign w:val="center"/>
          </w:tcPr>
          <w:p w:rsidR="00DD509A" w:rsidRPr="007370B3" w:rsidRDefault="00DD509A" w:rsidP="00DD509A">
            <w:pPr>
              <w:spacing w:line="480" w:lineRule="auto"/>
              <w:rPr>
                <w:szCs w:val="24"/>
                <w:lang w:eastAsia="cs-CZ"/>
              </w:rPr>
            </w:pPr>
            <w:r w:rsidRPr="007370B3">
              <w:rPr>
                <w:szCs w:val="24"/>
                <w:lang w:eastAsia="cs-CZ"/>
              </w:rPr>
              <w:t>30.4%</w:t>
            </w:r>
          </w:p>
        </w:tc>
        <w:tc>
          <w:tcPr>
            <w:tcW w:w="1130" w:type="pct"/>
            <w:vAlign w:val="center"/>
          </w:tcPr>
          <w:p w:rsidR="00DD509A" w:rsidRPr="007370B3" w:rsidRDefault="00DD509A" w:rsidP="00DD509A">
            <w:pPr>
              <w:spacing w:line="480" w:lineRule="auto"/>
              <w:rPr>
                <w:b/>
                <w:szCs w:val="24"/>
                <w:lang w:eastAsia="cs-CZ"/>
              </w:rPr>
            </w:pPr>
            <w:r w:rsidRPr="007370B3">
              <w:rPr>
                <w:b/>
                <w:szCs w:val="24"/>
                <w:lang w:eastAsia="cs-CZ"/>
              </w:rPr>
              <w:t>54.6%</w:t>
            </w:r>
          </w:p>
        </w:tc>
      </w:tr>
    </w:tbl>
    <w:p w:rsidR="00DD509A" w:rsidRPr="007370B3" w:rsidRDefault="00DD509A" w:rsidP="00DD509A">
      <w:pPr>
        <w:pStyle w:val="Paragraphbody0ident"/>
        <w:rPr>
          <w:sz w:val="24"/>
        </w:rPr>
      </w:pPr>
    </w:p>
    <w:p w:rsidR="00DD509A" w:rsidRPr="007370B3" w:rsidRDefault="00DD509A" w:rsidP="007370B3">
      <w:pPr>
        <w:pStyle w:val="Paragraphbody0ident"/>
        <w:spacing w:before="120" w:after="120"/>
        <w:rPr>
          <w:sz w:val="24"/>
        </w:rPr>
      </w:pPr>
    </w:p>
    <w:p w:rsidR="00DD509A" w:rsidRPr="007370B3" w:rsidRDefault="00DD509A" w:rsidP="007370B3">
      <w:pPr>
        <w:pStyle w:val="Paragraphbody0ident"/>
        <w:spacing w:before="120" w:after="120"/>
        <w:rPr>
          <w:sz w:val="24"/>
        </w:rPr>
      </w:pPr>
      <w:r w:rsidRPr="007370B3">
        <w:rPr>
          <w:sz w:val="24"/>
        </w:rPr>
        <w:t>The frequency analysis shows that two thirds of the companies with a deficit of the necessary cash also have negative EBITDA. Those companies with a negative EBITDA indicate an operating loss. In connection with the frequency of a cash deficit, this indicates that EBITDA (operational loss) has a significant impact on the insolvency indication. The other indicators show the same relationship; but their impacts are weaker. The majority of companies with a surplus of needed cash had positive values of all the other indicators at the same time. This is especially true in instances where the dependency between a cash surplus and positive non-cash working capital is very strong.</w:t>
      </w:r>
    </w:p>
    <w:p w:rsidR="00DD509A" w:rsidRDefault="00DD509A" w:rsidP="007370B3">
      <w:pPr>
        <w:pStyle w:val="Paragraphbody0ident"/>
        <w:spacing w:before="120" w:after="120"/>
        <w:ind w:firstLine="284"/>
        <w:rPr>
          <w:sz w:val="24"/>
        </w:rPr>
      </w:pPr>
      <w:r w:rsidRPr="007370B3">
        <w:rPr>
          <w:sz w:val="24"/>
        </w:rPr>
        <w:t>The most significant drop was observed in the case of equity during the analyzed time period (table 7 below) and therefore interdependencies between equity and other variables are analyzed. Negative equity is caused by losses which occurred in past periods. When the value of these losses outweighs the value of other items of equity, the total equity is negative. It is already known that the majority of companies showed a cash deficit. The results achieved in terms of equity are more satisfactory because “only” half of the companies had negative equity (see table 7 below). The consequence of which is that over-indebtedness is a smaller issue than cash deficit.</w:t>
      </w:r>
    </w:p>
    <w:p w:rsidR="007370B3" w:rsidRPr="007370B3" w:rsidRDefault="007370B3" w:rsidP="007370B3">
      <w:pPr>
        <w:pStyle w:val="Paragraphbody0ident"/>
        <w:spacing w:before="120" w:after="120"/>
        <w:ind w:firstLine="284"/>
        <w:rPr>
          <w:sz w:val="24"/>
        </w:rPr>
      </w:pPr>
    </w:p>
    <w:p w:rsidR="00DD509A" w:rsidRPr="007370B3" w:rsidRDefault="00DD509A" w:rsidP="00DD509A">
      <w:pPr>
        <w:pStyle w:val="Tabletitle"/>
        <w:rPr>
          <w:sz w:val="24"/>
        </w:rPr>
      </w:pPr>
      <w:proofErr w:type="gramStart"/>
      <w:r w:rsidRPr="007370B3">
        <w:rPr>
          <w:sz w:val="24"/>
        </w:rPr>
        <w:t>Table 7.</w:t>
      </w:r>
      <w:proofErr w:type="gramEnd"/>
      <w:r w:rsidRPr="007370B3">
        <w:rPr>
          <w:sz w:val="24"/>
        </w:rPr>
        <w:t xml:space="preserve"> Absolute and relative frequencies of polarity in the case of </w:t>
      </w:r>
      <w:proofErr w:type="gramStart"/>
      <w:r w:rsidRPr="007370B3">
        <w:rPr>
          <w:sz w:val="24"/>
        </w:rPr>
        <w:t>equity</w:t>
      </w:r>
      <w:proofErr w:type="gramEnd"/>
      <w:r w:rsidRPr="007370B3">
        <w:rPr>
          <w:sz w:val="24"/>
        </w:rPr>
        <w:br/>
        <w:t>(source: author based on Bisnode Magnusweb)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774"/>
        <w:gridCol w:w="2654"/>
        <w:gridCol w:w="2654"/>
      </w:tblGrid>
      <w:tr w:rsidR="00DD509A" w:rsidRPr="007370B3" w:rsidTr="00DD509A">
        <w:trPr>
          <w:trHeight w:val="346"/>
          <w:jc w:val="center"/>
        </w:trPr>
        <w:tc>
          <w:tcPr>
            <w:tcW w:w="2078" w:type="pct"/>
            <w:vAlign w:val="center"/>
          </w:tcPr>
          <w:p w:rsidR="00DD509A" w:rsidRPr="007370B3" w:rsidRDefault="00DD509A" w:rsidP="00DD509A">
            <w:pPr>
              <w:spacing w:line="480" w:lineRule="auto"/>
              <w:rPr>
                <w:szCs w:val="24"/>
                <w:lang w:eastAsia="cs-CZ"/>
              </w:rPr>
            </w:pPr>
            <w:r w:rsidRPr="007370B3">
              <w:rPr>
                <w:szCs w:val="24"/>
                <w:lang w:eastAsia="cs-CZ"/>
              </w:rPr>
              <w:t> </w:t>
            </w:r>
          </w:p>
        </w:tc>
        <w:tc>
          <w:tcPr>
            <w:tcW w:w="1461" w:type="pct"/>
            <w:vAlign w:val="center"/>
          </w:tcPr>
          <w:p w:rsidR="00DD509A" w:rsidRPr="007370B3" w:rsidRDefault="00DD509A" w:rsidP="00DD509A">
            <w:pPr>
              <w:spacing w:line="480" w:lineRule="auto"/>
              <w:jc w:val="center"/>
              <w:rPr>
                <w:szCs w:val="24"/>
                <w:lang w:eastAsia="cs-CZ"/>
              </w:rPr>
            </w:pPr>
            <w:r w:rsidRPr="007370B3">
              <w:rPr>
                <w:szCs w:val="24"/>
                <w:lang w:eastAsia="cs-CZ"/>
              </w:rPr>
              <w:t>Frequency</w:t>
            </w:r>
          </w:p>
        </w:tc>
        <w:tc>
          <w:tcPr>
            <w:tcW w:w="1461" w:type="pct"/>
            <w:vAlign w:val="center"/>
          </w:tcPr>
          <w:p w:rsidR="00DD509A" w:rsidRPr="007370B3" w:rsidRDefault="00DD509A" w:rsidP="00DD509A">
            <w:pPr>
              <w:spacing w:line="480" w:lineRule="auto"/>
              <w:jc w:val="center"/>
              <w:rPr>
                <w:szCs w:val="24"/>
                <w:lang w:eastAsia="cs-CZ"/>
              </w:rPr>
            </w:pPr>
            <w:r w:rsidRPr="007370B3">
              <w:rPr>
                <w:szCs w:val="24"/>
                <w:lang w:eastAsia="cs-CZ"/>
              </w:rPr>
              <w:t>Percent</w:t>
            </w:r>
          </w:p>
        </w:tc>
      </w:tr>
      <w:tr w:rsidR="00DD509A" w:rsidRPr="007370B3" w:rsidTr="00DD509A">
        <w:trPr>
          <w:trHeight w:val="346"/>
          <w:jc w:val="center"/>
        </w:trPr>
        <w:tc>
          <w:tcPr>
            <w:tcW w:w="2078" w:type="pct"/>
            <w:vAlign w:val="bottom"/>
          </w:tcPr>
          <w:p w:rsidR="00DD509A" w:rsidRPr="007370B3" w:rsidRDefault="00DD509A" w:rsidP="00DD509A">
            <w:pPr>
              <w:spacing w:line="480" w:lineRule="auto"/>
              <w:rPr>
                <w:szCs w:val="24"/>
                <w:lang w:eastAsia="cs-CZ"/>
              </w:rPr>
            </w:pPr>
            <w:r w:rsidRPr="007370B3">
              <w:rPr>
                <w:szCs w:val="24"/>
                <w:lang w:eastAsia="cs-CZ"/>
              </w:rPr>
              <w:t>Positive Equity</w:t>
            </w:r>
          </w:p>
        </w:tc>
        <w:tc>
          <w:tcPr>
            <w:tcW w:w="1461" w:type="pct"/>
            <w:vAlign w:val="center"/>
          </w:tcPr>
          <w:p w:rsidR="00DD509A" w:rsidRPr="007370B3" w:rsidRDefault="00DD509A" w:rsidP="00DD509A">
            <w:pPr>
              <w:spacing w:line="480" w:lineRule="auto"/>
              <w:rPr>
                <w:szCs w:val="24"/>
                <w:lang w:eastAsia="cs-CZ"/>
              </w:rPr>
            </w:pPr>
            <w:r w:rsidRPr="007370B3">
              <w:rPr>
                <w:szCs w:val="24"/>
                <w:lang w:eastAsia="cs-CZ"/>
              </w:rPr>
              <w:t>60</w:t>
            </w:r>
          </w:p>
        </w:tc>
        <w:tc>
          <w:tcPr>
            <w:tcW w:w="1461" w:type="pct"/>
            <w:vAlign w:val="center"/>
          </w:tcPr>
          <w:p w:rsidR="00DD509A" w:rsidRPr="007370B3" w:rsidRDefault="00DD509A" w:rsidP="00DD509A">
            <w:pPr>
              <w:spacing w:line="480" w:lineRule="auto"/>
              <w:rPr>
                <w:szCs w:val="24"/>
                <w:lang w:eastAsia="cs-CZ"/>
              </w:rPr>
            </w:pPr>
            <w:r w:rsidRPr="007370B3">
              <w:rPr>
                <w:szCs w:val="24"/>
                <w:lang w:eastAsia="cs-CZ"/>
              </w:rPr>
              <w:t>50%</w:t>
            </w:r>
          </w:p>
        </w:tc>
      </w:tr>
      <w:tr w:rsidR="00DD509A" w:rsidRPr="007370B3" w:rsidTr="00DD509A">
        <w:trPr>
          <w:trHeight w:val="346"/>
          <w:jc w:val="center"/>
        </w:trPr>
        <w:tc>
          <w:tcPr>
            <w:tcW w:w="2078" w:type="pct"/>
            <w:vAlign w:val="bottom"/>
          </w:tcPr>
          <w:p w:rsidR="00DD509A" w:rsidRPr="007370B3" w:rsidRDefault="00DD509A" w:rsidP="00DD509A">
            <w:pPr>
              <w:spacing w:line="480" w:lineRule="auto"/>
              <w:rPr>
                <w:szCs w:val="24"/>
                <w:lang w:eastAsia="cs-CZ"/>
              </w:rPr>
            </w:pPr>
            <w:r w:rsidRPr="007370B3">
              <w:rPr>
                <w:szCs w:val="24"/>
                <w:lang w:eastAsia="cs-CZ"/>
              </w:rPr>
              <w:t>Negative Equity</w:t>
            </w:r>
          </w:p>
        </w:tc>
        <w:tc>
          <w:tcPr>
            <w:tcW w:w="1461" w:type="pct"/>
            <w:vAlign w:val="center"/>
          </w:tcPr>
          <w:p w:rsidR="00DD509A" w:rsidRPr="007370B3" w:rsidRDefault="00DD509A" w:rsidP="00DD509A">
            <w:pPr>
              <w:spacing w:line="480" w:lineRule="auto"/>
              <w:rPr>
                <w:szCs w:val="24"/>
                <w:lang w:eastAsia="cs-CZ"/>
              </w:rPr>
            </w:pPr>
            <w:r w:rsidRPr="007370B3">
              <w:rPr>
                <w:szCs w:val="24"/>
                <w:lang w:eastAsia="cs-CZ"/>
              </w:rPr>
              <w:t>60</w:t>
            </w:r>
          </w:p>
        </w:tc>
        <w:tc>
          <w:tcPr>
            <w:tcW w:w="1461" w:type="pct"/>
            <w:vAlign w:val="center"/>
          </w:tcPr>
          <w:p w:rsidR="00DD509A" w:rsidRPr="007370B3" w:rsidRDefault="00DD509A" w:rsidP="00DD509A">
            <w:pPr>
              <w:spacing w:line="480" w:lineRule="auto"/>
              <w:rPr>
                <w:szCs w:val="24"/>
                <w:lang w:eastAsia="cs-CZ"/>
              </w:rPr>
            </w:pPr>
            <w:r w:rsidRPr="007370B3">
              <w:rPr>
                <w:szCs w:val="24"/>
                <w:lang w:eastAsia="cs-CZ"/>
              </w:rPr>
              <w:t>50%</w:t>
            </w:r>
          </w:p>
        </w:tc>
      </w:tr>
      <w:tr w:rsidR="00DD509A" w:rsidRPr="007370B3" w:rsidTr="00DD509A">
        <w:trPr>
          <w:trHeight w:val="346"/>
          <w:jc w:val="center"/>
        </w:trPr>
        <w:tc>
          <w:tcPr>
            <w:tcW w:w="2078" w:type="pct"/>
            <w:vAlign w:val="center"/>
          </w:tcPr>
          <w:p w:rsidR="00DD509A" w:rsidRPr="007370B3" w:rsidRDefault="00DD509A" w:rsidP="00DD509A">
            <w:pPr>
              <w:spacing w:line="480" w:lineRule="auto"/>
              <w:rPr>
                <w:szCs w:val="24"/>
                <w:lang w:eastAsia="cs-CZ"/>
              </w:rPr>
            </w:pPr>
            <w:r w:rsidRPr="007370B3">
              <w:rPr>
                <w:szCs w:val="24"/>
                <w:lang w:eastAsia="cs-CZ"/>
              </w:rPr>
              <w:t>Total</w:t>
            </w:r>
          </w:p>
        </w:tc>
        <w:tc>
          <w:tcPr>
            <w:tcW w:w="1461" w:type="pct"/>
            <w:vAlign w:val="center"/>
          </w:tcPr>
          <w:p w:rsidR="00DD509A" w:rsidRPr="007370B3" w:rsidRDefault="00DD509A" w:rsidP="00DD509A">
            <w:pPr>
              <w:spacing w:line="480" w:lineRule="auto"/>
              <w:rPr>
                <w:szCs w:val="24"/>
                <w:lang w:eastAsia="cs-CZ"/>
              </w:rPr>
            </w:pPr>
            <w:r w:rsidRPr="007370B3">
              <w:rPr>
                <w:szCs w:val="24"/>
                <w:lang w:eastAsia="cs-CZ"/>
              </w:rPr>
              <w:t>120</w:t>
            </w:r>
          </w:p>
        </w:tc>
        <w:tc>
          <w:tcPr>
            <w:tcW w:w="1461" w:type="pct"/>
            <w:vAlign w:val="center"/>
          </w:tcPr>
          <w:p w:rsidR="00DD509A" w:rsidRPr="007370B3" w:rsidRDefault="00DD509A" w:rsidP="00DD509A">
            <w:pPr>
              <w:spacing w:line="480" w:lineRule="auto"/>
              <w:rPr>
                <w:szCs w:val="24"/>
                <w:lang w:eastAsia="cs-CZ"/>
              </w:rPr>
            </w:pPr>
            <w:r w:rsidRPr="007370B3">
              <w:rPr>
                <w:szCs w:val="24"/>
                <w:lang w:eastAsia="cs-CZ"/>
              </w:rPr>
              <w:t>100%</w:t>
            </w:r>
          </w:p>
        </w:tc>
      </w:tr>
    </w:tbl>
    <w:p w:rsidR="00DD509A" w:rsidRPr="007370B3" w:rsidRDefault="00DD509A" w:rsidP="00DD509A">
      <w:pPr>
        <w:pStyle w:val="Paragraphbody0ident"/>
        <w:rPr>
          <w:sz w:val="24"/>
        </w:rPr>
      </w:pPr>
    </w:p>
    <w:p w:rsidR="00DD509A" w:rsidRDefault="00DD509A" w:rsidP="00DD509A">
      <w:pPr>
        <w:pStyle w:val="Paragraphbody0ident"/>
        <w:rPr>
          <w:sz w:val="24"/>
        </w:rPr>
      </w:pPr>
      <w:r w:rsidRPr="007370B3">
        <w:rPr>
          <w:sz w:val="24"/>
        </w:rPr>
        <w:t xml:space="preserve">Equity will be further analyzed in relation to other indicators. The frequency analysis is displayed in table 8. The results show that the companies with negative equity predominated by over 80% of the companies with negative EBITDA and a cash deficit. On the other hand, the relationship between negative equity and negative working capital is not so strong; although, it does show the same kind of relationship. The majority of companies with </w:t>
      </w:r>
      <w:r w:rsidRPr="007370B3">
        <w:rPr>
          <w:sz w:val="24"/>
        </w:rPr>
        <w:lastRenderedPageBreak/>
        <w:t>positive equity had positive values of profit (EBITDA) and reached a high level of working capital, but they had a cash deficit.</w:t>
      </w:r>
    </w:p>
    <w:p w:rsidR="007370B3" w:rsidRDefault="007370B3" w:rsidP="00DD509A">
      <w:pPr>
        <w:pStyle w:val="Paragraphbody0ident"/>
        <w:rPr>
          <w:sz w:val="24"/>
        </w:rPr>
      </w:pPr>
    </w:p>
    <w:p w:rsidR="007370B3" w:rsidRDefault="007370B3" w:rsidP="00DD509A">
      <w:pPr>
        <w:pStyle w:val="Paragraphbody0ident"/>
        <w:rPr>
          <w:sz w:val="24"/>
        </w:rPr>
      </w:pPr>
    </w:p>
    <w:p w:rsidR="007370B3" w:rsidRDefault="007370B3" w:rsidP="00DD509A">
      <w:pPr>
        <w:pStyle w:val="Paragraphbody0ident"/>
        <w:rPr>
          <w:sz w:val="24"/>
        </w:rPr>
      </w:pPr>
    </w:p>
    <w:p w:rsidR="007370B3" w:rsidRDefault="007370B3" w:rsidP="00DD509A">
      <w:pPr>
        <w:pStyle w:val="Paragraphbody0ident"/>
        <w:rPr>
          <w:sz w:val="24"/>
        </w:rPr>
      </w:pPr>
    </w:p>
    <w:p w:rsidR="007370B3" w:rsidRDefault="007370B3" w:rsidP="00DD509A">
      <w:pPr>
        <w:pStyle w:val="Paragraphbody0ident"/>
        <w:rPr>
          <w:sz w:val="24"/>
        </w:rPr>
      </w:pPr>
    </w:p>
    <w:p w:rsidR="007370B3" w:rsidRDefault="007370B3" w:rsidP="00DD509A">
      <w:pPr>
        <w:pStyle w:val="Paragraphbody0ident"/>
        <w:rPr>
          <w:sz w:val="24"/>
        </w:rPr>
      </w:pPr>
    </w:p>
    <w:p w:rsidR="007370B3" w:rsidRPr="007370B3" w:rsidRDefault="007370B3" w:rsidP="00DD509A">
      <w:pPr>
        <w:pStyle w:val="Paragraphbody0ident"/>
        <w:rPr>
          <w:sz w:val="24"/>
        </w:rPr>
      </w:pPr>
    </w:p>
    <w:p w:rsidR="00DD509A" w:rsidRPr="007370B3" w:rsidRDefault="00DD509A" w:rsidP="00DD509A">
      <w:pPr>
        <w:pStyle w:val="Tabletitle"/>
        <w:rPr>
          <w:sz w:val="24"/>
        </w:rPr>
      </w:pPr>
      <w:proofErr w:type="gramStart"/>
      <w:r w:rsidRPr="007370B3">
        <w:rPr>
          <w:sz w:val="24"/>
        </w:rPr>
        <w:t>Table 8.</w:t>
      </w:r>
      <w:proofErr w:type="gramEnd"/>
      <w:r w:rsidRPr="007370B3">
        <w:rPr>
          <w:sz w:val="24"/>
        </w:rPr>
        <w:t xml:space="preserve"> Relative polarity frequencies of equity to other </w:t>
      </w:r>
      <w:proofErr w:type="gramStart"/>
      <w:r w:rsidRPr="007370B3">
        <w:rPr>
          <w:sz w:val="24"/>
        </w:rPr>
        <w:t>indicators</w:t>
      </w:r>
      <w:proofErr w:type="gramEnd"/>
      <w:r w:rsidRPr="007370B3">
        <w:rPr>
          <w:sz w:val="24"/>
        </w:rPr>
        <w:br/>
        <w:t>(source: author based on Bisnode Magnusweb)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921"/>
        <w:gridCol w:w="2054"/>
        <w:gridCol w:w="2054"/>
        <w:gridCol w:w="2053"/>
      </w:tblGrid>
      <w:tr w:rsidR="00DD509A" w:rsidRPr="007370B3" w:rsidTr="00DD509A">
        <w:trPr>
          <w:trHeight w:val="346"/>
          <w:jc w:val="center"/>
        </w:trPr>
        <w:tc>
          <w:tcPr>
            <w:tcW w:w="2739" w:type="pct"/>
            <w:gridSpan w:val="2"/>
            <w:vAlign w:val="center"/>
          </w:tcPr>
          <w:p w:rsidR="00DD509A" w:rsidRPr="007370B3" w:rsidRDefault="00DD509A" w:rsidP="00DD509A">
            <w:pPr>
              <w:spacing w:line="480" w:lineRule="auto"/>
              <w:jc w:val="center"/>
              <w:rPr>
                <w:szCs w:val="24"/>
                <w:lang w:eastAsia="cs-CZ"/>
              </w:rPr>
            </w:pPr>
          </w:p>
        </w:tc>
        <w:tc>
          <w:tcPr>
            <w:tcW w:w="1131" w:type="pct"/>
            <w:vAlign w:val="center"/>
          </w:tcPr>
          <w:p w:rsidR="00DD509A" w:rsidRPr="007370B3" w:rsidRDefault="00DD509A" w:rsidP="00DD509A">
            <w:pPr>
              <w:spacing w:line="480" w:lineRule="auto"/>
              <w:jc w:val="center"/>
              <w:rPr>
                <w:szCs w:val="24"/>
                <w:lang w:eastAsia="cs-CZ"/>
              </w:rPr>
            </w:pPr>
            <w:r w:rsidRPr="007370B3">
              <w:rPr>
                <w:szCs w:val="24"/>
                <w:lang w:eastAsia="cs-CZ"/>
              </w:rPr>
              <w:t>Positive Equity</w:t>
            </w:r>
          </w:p>
        </w:tc>
        <w:tc>
          <w:tcPr>
            <w:tcW w:w="1130" w:type="pct"/>
            <w:vAlign w:val="center"/>
          </w:tcPr>
          <w:p w:rsidR="00DD509A" w:rsidRPr="007370B3" w:rsidRDefault="00DD509A" w:rsidP="00DD509A">
            <w:pPr>
              <w:spacing w:line="480" w:lineRule="auto"/>
              <w:jc w:val="center"/>
              <w:rPr>
                <w:szCs w:val="24"/>
                <w:lang w:eastAsia="cs-CZ"/>
              </w:rPr>
            </w:pPr>
            <w:r w:rsidRPr="007370B3">
              <w:rPr>
                <w:szCs w:val="24"/>
                <w:lang w:eastAsia="cs-CZ"/>
              </w:rPr>
              <w:t>Negative Equity</w:t>
            </w:r>
          </w:p>
        </w:tc>
      </w:tr>
      <w:tr w:rsidR="00DD509A" w:rsidRPr="007370B3" w:rsidTr="00DD509A">
        <w:trPr>
          <w:trHeight w:val="346"/>
          <w:jc w:val="center"/>
        </w:trPr>
        <w:tc>
          <w:tcPr>
            <w:tcW w:w="1608" w:type="pct"/>
            <w:vMerge w:val="restart"/>
            <w:vAlign w:val="center"/>
          </w:tcPr>
          <w:p w:rsidR="00DD509A" w:rsidRPr="007370B3" w:rsidRDefault="00DD509A" w:rsidP="00DD509A">
            <w:pPr>
              <w:spacing w:line="480" w:lineRule="auto"/>
              <w:rPr>
                <w:b/>
                <w:bCs/>
                <w:szCs w:val="24"/>
                <w:lang w:eastAsia="cs-CZ"/>
              </w:rPr>
            </w:pPr>
            <w:r w:rsidRPr="007370B3">
              <w:rPr>
                <w:b/>
                <w:bCs/>
                <w:szCs w:val="24"/>
                <w:lang w:eastAsia="cs-CZ"/>
              </w:rPr>
              <w:t>Polarity of EBITDA</w:t>
            </w:r>
          </w:p>
        </w:tc>
        <w:tc>
          <w:tcPr>
            <w:tcW w:w="1131" w:type="pct"/>
            <w:vAlign w:val="bottom"/>
          </w:tcPr>
          <w:p w:rsidR="00DD509A" w:rsidRPr="007370B3" w:rsidRDefault="00DD509A" w:rsidP="00DD509A">
            <w:pPr>
              <w:spacing w:line="480" w:lineRule="auto"/>
              <w:rPr>
                <w:szCs w:val="24"/>
                <w:lang w:eastAsia="cs-CZ"/>
              </w:rPr>
            </w:pPr>
            <w:r w:rsidRPr="007370B3">
              <w:rPr>
                <w:szCs w:val="24"/>
                <w:lang w:eastAsia="cs-CZ"/>
              </w:rPr>
              <w:t>Positive EBITDA</w:t>
            </w:r>
          </w:p>
        </w:tc>
        <w:tc>
          <w:tcPr>
            <w:tcW w:w="1131" w:type="pct"/>
            <w:vAlign w:val="center"/>
          </w:tcPr>
          <w:p w:rsidR="00DD509A" w:rsidRPr="007370B3" w:rsidRDefault="00DD509A" w:rsidP="00DD509A">
            <w:pPr>
              <w:spacing w:line="480" w:lineRule="auto"/>
              <w:rPr>
                <w:b/>
                <w:szCs w:val="24"/>
                <w:lang w:eastAsia="cs-CZ"/>
              </w:rPr>
            </w:pPr>
            <w:r w:rsidRPr="007370B3">
              <w:rPr>
                <w:b/>
                <w:szCs w:val="24"/>
                <w:lang w:eastAsia="cs-CZ"/>
              </w:rPr>
              <w:t>61.7%</w:t>
            </w:r>
          </w:p>
        </w:tc>
        <w:tc>
          <w:tcPr>
            <w:tcW w:w="1130" w:type="pct"/>
            <w:vAlign w:val="center"/>
          </w:tcPr>
          <w:p w:rsidR="00DD509A" w:rsidRPr="007370B3" w:rsidRDefault="00DD509A" w:rsidP="00DD509A">
            <w:pPr>
              <w:spacing w:line="480" w:lineRule="auto"/>
              <w:rPr>
                <w:szCs w:val="24"/>
                <w:lang w:eastAsia="cs-CZ"/>
              </w:rPr>
            </w:pPr>
            <w:r w:rsidRPr="007370B3">
              <w:rPr>
                <w:szCs w:val="24"/>
                <w:lang w:eastAsia="cs-CZ"/>
              </w:rPr>
              <w:t>16.7%</w:t>
            </w:r>
          </w:p>
        </w:tc>
      </w:tr>
      <w:tr w:rsidR="00DD509A" w:rsidRPr="007370B3" w:rsidTr="00DD509A">
        <w:trPr>
          <w:trHeight w:val="346"/>
          <w:jc w:val="center"/>
        </w:trPr>
        <w:tc>
          <w:tcPr>
            <w:tcW w:w="1608" w:type="pct"/>
            <w:vMerge/>
            <w:vAlign w:val="center"/>
          </w:tcPr>
          <w:p w:rsidR="00DD509A" w:rsidRPr="007370B3" w:rsidRDefault="00DD509A" w:rsidP="00DD509A">
            <w:pPr>
              <w:spacing w:line="480" w:lineRule="auto"/>
              <w:rPr>
                <w:szCs w:val="24"/>
                <w:lang w:eastAsia="cs-CZ"/>
              </w:rPr>
            </w:pPr>
          </w:p>
        </w:tc>
        <w:tc>
          <w:tcPr>
            <w:tcW w:w="1131" w:type="pct"/>
            <w:vAlign w:val="bottom"/>
          </w:tcPr>
          <w:p w:rsidR="00DD509A" w:rsidRPr="007370B3" w:rsidRDefault="00DD509A" w:rsidP="00DD509A">
            <w:pPr>
              <w:spacing w:line="480" w:lineRule="auto"/>
              <w:rPr>
                <w:szCs w:val="24"/>
                <w:lang w:eastAsia="cs-CZ"/>
              </w:rPr>
            </w:pPr>
            <w:r w:rsidRPr="007370B3">
              <w:rPr>
                <w:szCs w:val="24"/>
                <w:lang w:eastAsia="cs-CZ"/>
              </w:rPr>
              <w:t>Negative EBITDA</w:t>
            </w:r>
          </w:p>
        </w:tc>
        <w:tc>
          <w:tcPr>
            <w:tcW w:w="1131" w:type="pct"/>
            <w:vAlign w:val="center"/>
          </w:tcPr>
          <w:p w:rsidR="00DD509A" w:rsidRPr="007370B3" w:rsidRDefault="00DD509A" w:rsidP="00DD509A">
            <w:pPr>
              <w:spacing w:line="480" w:lineRule="auto"/>
              <w:rPr>
                <w:szCs w:val="24"/>
                <w:lang w:eastAsia="cs-CZ"/>
              </w:rPr>
            </w:pPr>
            <w:r w:rsidRPr="007370B3">
              <w:rPr>
                <w:szCs w:val="24"/>
                <w:lang w:eastAsia="cs-CZ"/>
              </w:rPr>
              <w:t>38.3%</w:t>
            </w:r>
          </w:p>
        </w:tc>
        <w:tc>
          <w:tcPr>
            <w:tcW w:w="1130" w:type="pct"/>
            <w:vAlign w:val="center"/>
          </w:tcPr>
          <w:p w:rsidR="00DD509A" w:rsidRPr="007370B3" w:rsidRDefault="00DD509A" w:rsidP="00DD509A">
            <w:pPr>
              <w:spacing w:line="480" w:lineRule="auto"/>
              <w:rPr>
                <w:b/>
                <w:szCs w:val="24"/>
                <w:lang w:eastAsia="cs-CZ"/>
              </w:rPr>
            </w:pPr>
            <w:r w:rsidRPr="007370B3">
              <w:rPr>
                <w:b/>
                <w:szCs w:val="24"/>
                <w:lang w:eastAsia="cs-CZ"/>
              </w:rPr>
              <w:t>83.3%</w:t>
            </w:r>
          </w:p>
        </w:tc>
      </w:tr>
      <w:tr w:rsidR="00DD509A" w:rsidRPr="007370B3" w:rsidTr="00DD509A">
        <w:trPr>
          <w:trHeight w:val="346"/>
          <w:jc w:val="center"/>
        </w:trPr>
        <w:tc>
          <w:tcPr>
            <w:tcW w:w="1608" w:type="pct"/>
            <w:vMerge w:val="restart"/>
            <w:vAlign w:val="center"/>
          </w:tcPr>
          <w:p w:rsidR="00DD509A" w:rsidRPr="007370B3" w:rsidRDefault="00DD509A" w:rsidP="00DD509A">
            <w:pPr>
              <w:spacing w:line="480" w:lineRule="auto"/>
              <w:rPr>
                <w:b/>
                <w:bCs/>
                <w:szCs w:val="24"/>
                <w:lang w:eastAsia="cs-CZ"/>
              </w:rPr>
            </w:pPr>
            <w:r w:rsidRPr="007370B3">
              <w:rPr>
                <w:b/>
                <w:bCs/>
                <w:szCs w:val="24"/>
                <w:lang w:eastAsia="cs-CZ"/>
              </w:rPr>
              <w:t>Polarity of Cash Deficit</w:t>
            </w:r>
          </w:p>
        </w:tc>
        <w:tc>
          <w:tcPr>
            <w:tcW w:w="1131" w:type="pct"/>
            <w:vAlign w:val="bottom"/>
          </w:tcPr>
          <w:p w:rsidR="00DD509A" w:rsidRPr="007370B3" w:rsidRDefault="00DD509A" w:rsidP="00DD509A">
            <w:pPr>
              <w:spacing w:line="480" w:lineRule="auto"/>
              <w:rPr>
                <w:szCs w:val="24"/>
                <w:lang w:eastAsia="cs-CZ"/>
              </w:rPr>
            </w:pPr>
            <w:r w:rsidRPr="007370B3">
              <w:rPr>
                <w:szCs w:val="24"/>
                <w:lang w:eastAsia="cs-CZ"/>
              </w:rPr>
              <w:t>Cash Surplus</w:t>
            </w:r>
          </w:p>
        </w:tc>
        <w:tc>
          <w:tcPr>
            <w:tcW w:w="1131" w:type="pct"/>
            <w:vAlign w:val="center"/>
          </w:tcPr>
          <w:p w:rsidR="00DD509A" w:rsidRPr="007370B3" w:rsidRDefault="00DD509A" w:rsidP="00DD509A">
            <w:pPr>
              <w:spacing w:line="480" w:lineRule="auto"/>
              <w:rPr>
                <w:szCs w:val="24"/>
                <w:lang w:eastAsia="cs-CZ"/>
              </w:rPr>
            </w:pPr>
            <w:r w:rsidRPr="007370B3">
              <w:rPr>
                <w:szCs w:val="24"/>
                <w:lang w:eastAsia="cs-CZ"/>
              </w:rPr>
              <w:t>26.7%</w:t>
            </w:r>
          </w:p>
        </w:tc>
        <w:tc>
          <w:tcPr>
            <w:tcW w:w="1130" w:type="pct"/>
            <w:vAlign w:val="center"/>
          </w:tcPr>
          <w:p w:rsidR="00DD509A" w:rsidRPr="007370B3" w:rsidRDefault="00DD509A" w:rsidP="00DD509A">
            <w:pPr>
              <w:spacing w:line="480" w:lineRule="auto"/>
              <w:rPr>
                <w:szCs w:val="24"/>
                <w:lang w:eastAsia="cs-CZ"/>
              </w:rPr>
            </w:pPr>
            <w:r w:rsidRPr="007370B3">
              <w:rPr>
                <w:szCs w:val="24"/>
                <w:lang w:eastAsia="cs-CZ"/>
              </w:rPr>
              <w:t>11.7%</w:t>
            </w:r>
          </w:p>
        </w:tc>
      </w:tr>
      <w:tr w:rsidR="00DD509A" w:rsidRPr="007370B3" w:rsidTr="00DD509A">
        <w:trPr>
          <w:trHeight w:val="346"/>
          <w:jc w:val="center"/>
        </w:trPr>
        <w:tc>
          <w:tcPr>
            <w:tcW w:w="1608" w:type="pct"/>
            <w:vMerge/>
            <w:vAlign w:val="center"/>
          </w:tcPr>
          <w:p w:rsidR="00DD509A" w:rsidRPr="007370B3" w:rsidRDefault="00DD509A" w:rsidP="00DD509A">
            <w:pPr>
              <w:spacing w:line="480" w:lineRule="auto"/>
              <w:rPr>
                <w:szCs w:val="24"/>
                <w:lang w:eastAsia="cs-CZ"/>
              </w:rPr>
            </w:pPr>
          </w:p>
        </w:tc>
        <w:tc>
          <w:tcPr>
            <w:tcW w:w="1131" w:type="pct"/>
            <w:vAlign w:val="bottom"/>
          </w:tcPr>
          <w:p w:rsidR="00DD509A" w:rsidRPr="007370B3" w:rsidRDefault="00DD509A" w:rsidP="00DD509A">
            <w:pPr>
              <w:spacing w:line="480" w:lineRule="auto"/>
              <w:rPr>
                <w:szCs w:val="24"/>
                <w:lang w:eastAsia="cs-CZ"/>
              </w:rPr>
            </w:pPr>
            <w:r w:rsidRPr="007370B3">
              <w:rPr>
                <w:szCs w:val="24"/>
                <w:lang w:eastAsia="cs-CZ"/>
              </w:rPr>
              <w:t>Cash Deficit</w:t>
            </w:r>
          </w:p>
        </w:tc>
        <w:tc>
          <w:tcPr>
            <w:tcW w:w="1131" w:type="pct"/>
            <w:vAlign w:val="center"/>
          </w:tcPr>
          <w:p w:rsidR="00DD509A" w:rsidRPr="007370B3" w:rsidRDefault="00DD509A" w:rsidP="00DD509A">
            <w:pPr>
              <w:spacing w:line="480" w:lineRule="auto"/>
              <w:rPr>
                <w:b/>
                <w:szCs w:val="24"/>
                <w:lang w:eastAsia="cs-CZ"/>
              </w:rPr>
            </w:pPr>
            <w:r w:rsidRPr="007370B3">
              <w:rPr>
                <w:b/>
                <w:szCs w:val="24"/>
                <w:lang w:eastAsia="cs-CZ"/>
              </w:rPr>
              <w:t>73.3%</w:t>
            </w:r>
          </w:p>
        </w:tc>
        <w:tc>
          <w:tcPr>
            <w:tcW w:w="1130" w:type="pct"/>
            <w:vAlign w:val="center"/>
          </w:tcPr>
          <w:p w:rsidR="00DD509A" w:rsidRPr="007370B3" w:rsidRDefault="00DD509A" w:rsidP="00DD509A">
            <w:pPr>
              <w:spacing w:line="480" w:lineRule="auto"/>
              <w:rPr>
                <w:b/>
                <w:szCs w:val="24"/>
                <w:lang w:eastAsia="cs-CZ"/>
              </w:rPr>
            </w:pPr>
            <w:r w:rsidRPr="007370B3">
              <w:rPr>
                <w:b/>
                <w:szCs w:val="24"/>
                <w:lang w:eastAsia="cs-CZ"/>
              </w:rPr>
              <w:t>88.3%</w:t>
            </w:r>
          </w:p>
        </w:tc>
      </w:tr>
      <w:tr w:rsidR="00DD509A" w:rsidRPr="007370B3" w:rsidTr="00DD509A">
        <w:trPr>
          <w:trHeight w:val="346"/>
          <w:jc w:val="center"/>
        </w:trPr>
        <w:tc>
          <w:tcPr>
            <w:tcW w:w="1608" w:type="pct"/>
            <w:vMerge w:val="restart"/>
            <w:vAlign w:val="center"/>
          </w:tcPr>
          <w:p w:rsidR="00DD509A" w:rsidRPr="007370B3" w:rsidRDefault="00DD509A" w:rsidP="00DD509A">
            <w:pPr>
              <w:spacing w:line="480" w:lineRule="auto"/>
              <w:rPr>
                <w:b/>
                <w:bCs/>
                <w:szCs w:val="24"/>
                <w:lang w:eastAsia="cs-CZ"/>
              </w:rPr>
            </w:pPr>
            <w:r w:rsidRPr="007370B3">
              <w:rPr>
                <w:b/>
                <w:bCs/>
                <w:szCs w:val="24"/>
                <w:lang w:eastAsia="cs-CZ"/>
              </w:rPr>
              <w:t>Polarity of Working Capital Ratio</w:t>
            </w:r>
          </w:p>
        </w:tc>
        <w:tc>
          <w:tcPr>
            <w:tcW w:w="1131" w:type="pct"/>
            <w:vAlign w:val="bottom"/>
          </w:tcPr>
          <w:p w:rsidR="00DD509A" w:rsidRPr="007370B3" w:rsidRDefault="00DD509A" w:rsidP="00DD509A">
            <w:pPr>
              <w:spacing w:line="480" w:lineRule="auto"/>
              <w:rPr>
                <w:szCs w:val="24"/>
                <w:lang w:eastAsia="cs-CZ"/>
              </w:rPr>
            </w:pPr>
            <w:r w:rsidRPr="007370B3">
              <w:rPr>
                <w:szCs w:val="24"/>
                <w:lang w:eastAsia="cs-CZ"/>
              </w:rPr>
              <w:t>Positive Working Capital</w:t>
            </w:r>
          </w:p>
        </w:tc>
        <w:tc>
          <w:tcPr>
            <w:tcW w:w="1131" w:type="pct"/>
            <w:vAlign w:val="center"/>
          </w:tcPr>
          <w:p w:rsidR="00DD509A" w:rsidRPr="007370B3" w:rsidRDefault="00DD509A" w:rsidP="00DD509A">
            <w:pPr>
              <w:spacing w:line="480" w:lineRule="auto"/>
              <w:rPr>
                <w:b/>
                <w:szCs w:val="24"/>
                <w:lang w:eastAsia="cs-CZ"/>
              </w:rPr>
            </w:pPr>
            <w:r w:rsidRPr="007370B3">
              <w:rPr>
                <w:b/>
                <w:szCs w:val="24"/>
                <w:lang w:eastAsia="cs-CZ"/>
              </w:rPr>
              <w:t>65.0%</w:t>
            </w:r>
          </w:p>
        </w:tc>
        <w:tc>
          <w:tcPr>
            <w:tcW w:w="1130" w:type="pct"/>
            <w:vAlign w:val="center"/>
          </w:tcPr>
          <w:p w:rsidR="00DD509A" w:rsidRPr="007370B3" w:rsidRDefault="00DD509A" w:rsidP="00DD509A">
            <w:pPr>
              <w:spacing w:line="480" w:lineRule="auto"/>
              <w:rPr>
                <w:szCs w:val="24"/>
                <w:lang w:eastAsia="cs-CZ"/>
              </w:rPr>
            </w:pPr>
            <w:r w:rsidRPr="007370B3">
              <w:rPr>
                <w:szCs w:val="24"/>
                <w:lang w:eastAsia="cs-CZ"/>
              </w:rPr>
              <w:t>41.7%</w:t>
            </w:r>
          </w:p>
        </w:tc>
      </w:tr>
      <w:tr w:rsidR="00DD509A" w:rsidRPr="007370B3" w:rsidTr="00DD509A">
        <w:trPr>
          <w:trHeight w:val="346"/>
          <w:jc w:val="center"/>
        </w:trPr>
        <w:tc>
          <w:tcPr>
            <w:tcW w:w="1608" w:type="pct"/>
            <w:vMerge/>
            <w:vAlign w:val="center"/>
          </w:tcPr>
          <w:p w:rsidR="00DD509A" w:rsidRPr="007370B3" w:rsidRDefault="00DD509A" w:rsidP="00DD509A">
            <w:pPr>
              <w:spacing w:line="480" w:lineRule="auto"/>
              <w:rPr>
                <w:szCs w:val="24"/>
                <w:lang w:eastAsia="cs-CZ"/>
              </w:rPr>
            </w:pPr>
          </w:p>
        </w:tc>
        <w:tc>
          <w:tcPr>
            <w:tcW w:w="1131" w:type="pct"/>
            <w:vAlign w:val="bottom"/>
          </w:tcPr>
          <w:p w:rsidR="00DD509A" w:rsidRPr="007370B3" w:rsidRDefault="00DD509A" w:rsidP="00DD509A">
            <w:pPr>
              <w:spacing w:line="480" w:lineRule="auto"/>
              <w:rPr>
                <w:szCs w:val="24"/>
                <w:lang w:eastAsia="cs-CZ"/>
              </w:rPr>
            </w:pPr>
            <w:r w:rsidRPr="007370B3">
              <w:rPr>
                <w:szCs w:val="24"/>
                <w:lang w:eastAsia="cs-CZ"/>
              </w:rPr>
              <w:t>Negative Working Capital</w:t>
            </w:r>
          </w:p>
        </w:tc>
        <w:tc>
          <w:tcPr>
            <w:tcW w:w="1131" w:type="pct"/>
            <w:vAlign w:val="center"/>
          </w:tcPr>
          <w:p w:rsidR="00DD509A" w:rsidRPr="007370B3" w:rsidRDefault="00DD509A" w:rsidP="00DD509A">
            <w:pPr>
              <w:spacing w:line="480" w:lineRule="auto"/>
              <w:rPr>
                <w:szCs w:val="24"/>
                <w:lang w:eastAsia="cs-CZ"/>
              </w:rPr>
            </w:pPr>
            <w:r w:rsidRPr="007370B3">
              <w:rPr>
                <w:szCs w:val="24"/>
                <w:lang w:eastAsia="cs-CZ"/>
              </w:rPr>
              <w:t>35.0%</w:t>
            </w:r>
          </w:p>
        </w:tc>
        <w:tc>
          <w:tcPr>
            <w:tcW w:w="1130" w:type="pct"/>
            <w:vAlign w:val="center"/>
          </w:tcPr>
          <w:p w:rsidR="00DD509A" w:rsidRPr="007370B3" w:rsidRDefault="00DD509A" w:rsidP="00DD509A">
            <w:pPr>
              <w:spacing w:line="480" w:lineRule="auto"/>
              <w:rPr>
                <w:b/>
                <w:szCs w:val="24"/>
                <w:lang w:eastAsia="cs-CZ"/>
              </w:rPr>
            </w:pPr>
            <w:r w:rsidRPr="007370B3">
              <w:rPr>
                <w:b/>
                <w:szCs w:val="24"/>
                <w:lang w:eastAsia="cs-CZ"/>
              </w:rPr>
              <w:t>58.3%</w:t>
            </w:r>
          </w:p>
        </w:tc>
      </w:tr>
    </w:tbl>
    <w:p w:rsidR="00DD509A" w:rsidRPr="007370B3" w:rsidRDefault="00DD509A" w:rsidP="00DD509A">
      <w:pPr>
        <w:pStyle w:val="Paragraphbody0ident"/>
        <w:rPr>
          <w:sz w:val="24"/>
        </w:rPr>
      </w:pPr>
    </w:p>
    <w:p w:rsidR="00DD509A" w:rsidRPr="007370B3" w:rsidRDefault="00DD509A" w:rsidP="007370B3">
      <w:pPr>
        <w:pStyle w:val="Paragraphbody0ident"/>
        <w:spacing w:before="120" w:after="120"/>
        <w:rPr>
          <w:sz w:val="24"/>
        </w:rPr>
      </w:pPr>
      <w:r w:rsidRPr="007370B3">
        <w:rPr>
          <w:sz w:val="24"/>
        </w:rPr>
        <w:t xml:space="preserve">The values gained by selected indicators showed negative performance generally by the respective enterprise. Besides the frequency analysis, we have used another tool for our examination, i.e. the Altman Z-Score is used. The ability of the Altman Z-Score to predict the likelihood of bankruptcy has been confirmed in many papers about Czech enterprises, specifically Čámská (2016), Karas, </w:t>
      </w:r>
      <w:r w:rsidRPr="007370B3">
        <w:rPr>
          <w:sz w:val="24"/>
          <w:lang w:val="cs-CZ"/>
        </w:rPr>
        <w:t>&amp; Režňáková (2015) or Klečka, &amp; Scholleová (2010)</w:t>
      </w:r>
      <w:r w:rsidRPr="007370B3">
        <w:rPr>
          <w:sz w:val="24"/>
        </w:rPr>
        <w:t>.  Absolute and relative frequencies of the Altman Z-Score zones (healthy, grey and unhealthy) are shown in table 9.</w:t>
      </w:r>
    </w:p>
    <w:p w:rsidR="00DD509A" w:rsidRPr="007370B3" w:rsidRDefault="00DD509A" w:rsidP="00DD509A">
      <w:pPr>
        <w:pStyle w:val="Tabletitle"/>
        <w:rPr>
          <w:sz w:val="24"/>
        </w:rPr>
      </w:pPr>
      <w:proofErr w:type="gramStart"/>
      <w:r w:rsidRPr="007370B3">
        <w:rPr>
          <w:sz w:val="24"/>
        </w:rPr>
        <w:t>Table 9.</w:t>
      </w:r>
      <w:proofErr w:type="gramEnd"/>
      <w:r w:rsidRPr="007370B3">
        <w:rPr>
          <w:sz w:val="24"/>
        </w:rPr>
        <w:t xml:space="preserve"> Frequency of Altman Z-</w:t>
      </w:r>
      <w:proofErr w:type="gramStart"/>
      <w:r w:rsidRPr="007370B3">
        <w:rPr>
          <w:sz w:val="24"/>
        </w:rPr>
        <w:t>Score</w:t>
      </w:r>
      <w:proofErr w:type="gramEnd"/>
      <w:r w:rsidRPr="007370B3">
        <w:rPr>
          <w:sz w:val="24"/>
        </w:rPr>
        <w:br/>
        <w:t>(source: author based on Bisnode Magnusweb)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233"/>
        <w:gridCol w:w="1159"/>
        <w:gridCol w:w="895"/>
        <w:gridCol w:w="1566"/>
        <w:gridCol w:w="2229"/>
      </w:tblGrid>
      <w:tr w:rsidR="00DD509A" w:rsidRPr="007370B3" w:rsidTr="00DD509A">
        <w:trPr>
          <w:trHeight w:val="346"/>
          <w:jc w:val="center"/>
        </w:trPr>
        <w:tc>
          <w:tcPr>
            <w:tcW w:w="1780" w:type="pct"/>
            <w:vAlign w:val="center"/>
          </w:tcPr>
          <w:p w:rsidR="00DD509A" w:rsidRPr="007370B3" w:rsidRDefault="00DD509A" w:rsidP="00DD509A">
            <w:pPr>
              <w:spacing w:line="480" w:lineRule="auto"/>
              <w:rPr>
                <w:szCs w:val="24"/>
                <w:lang w:eastAsia="cs-CZ"/>
              </w:rPr>
            </w:pPr>
          </w:p>
        </w:tc>
        <w:tc>
          <w:tcPr>
            <w:tcW w:w="638" w:type="pct"/>
            <w:vAlign w:val="center"/>
          </w:tcPr>
          <w:p w:rsidR="00DD509A" w:rsidRPr="007370B3" w:rsidRDefault="00DD509A" w:rsidP="00DD509A">
            <w:pPr>
              <w:spacing w:line="480" w:lineRule="auto"/>
              <w:jc w:val="center"/>
              <w:rPr>
                <w:szCs w:val="24"/>
                <w:lang w:eastAsia="cs-CZ"/>
              </w:rPr>
            </w:pPr>
            <w:r w:rsidRPr="007370B3">
              <w:rPr>
                <w:szCs w:val="24"/>
                <w:lang w:eastAsia="cs-CZ"/>
              </w:rPr>
              <w:t>Frequency</w:t>
            </w:r>
          </w:p>
        </w:tc>
        <w:tc>
          <w:tcPr>
            <w:tcW w:w="493" w:type="pct"/>
            <w:vAlign w:val="center"/>
          </w:tcPr>
          <w:p w:rsidR="00DD509A" w:rsidRPr="007370B3" w:rsidRDefault="00DD509A" w:rsidP="00DD509A">
            <w:pPr>
              <w:spacing w:line="480" w:lineRule="auto"/>
              <w:jc w:val="center"/>
              <w:rPr>
                <w:szCs w:val="24"/>
                <w:lang w:eastAsia="cs-CZ"/>
              </w:rPr>
            </w:pPr>
            <w:r w:rsidRPr="007370B3">
              <w:rPr>
                <w:szCs w:val="24"/>
                <w:lang w:eastAsia="cs-CZ"/>
              </w:rPr>
              <w:t>Percent</w:t>
            </w:r>
          </w:p>
        </w:tc>
        <w:tc>
          <w:tcPr>
            <w:tcW w:w="862" w:type="pct"/>
            <w:vAlign w:val="center"/>
          </w:tcPr>
          <w:p w:rsidR="00DD509A" w:rsidRPr="007370B3" w:rsidRDefault="00DD509A" w:rsidP="00DD509A">
            <w:pPr>
              <w:spacing w:line="480" w:lineRule="auto"/>
              <w:jc w:val="center"/>
              <w:rPr>
                <w:szCs w:val="24"/>
                <w:lang w:eastAsia="cs-CZ"/>
              </w:rPr>
            </w:pPr>
            <w:r w:rsidRPr="007370B3">
              <w:rPr>
                <w:szCs w:val="24"/>
                <w:lang w:eastAsia="cs-CZ"/>
              </w:rPr>
              <w:t>Valid Percent</w:t>
            </w:r>
          </w:p>
        </w:tc>
        <w:tc>
          <w:tcPr>
            <w:tcW w:w="1227" w:type="pct"/>
            <w:vAlign w:val="center"/>
          </w:tcPr>
          <w:p w:rsidR="00DD509A" w:rsidRPr="007370B3" w:rsidRDefault="00DD509A" w:rsidP="00DD509A">
            <w:pPr>
              <w:spacing w:line="480" w:lineRule="auto"/>
              <w:jc w:val="center"/>
              <w:rPr>
                <w:szCs w:val="24"/>
                <w:lang w:eastAsia="cs-CZ"/>
              </w:rPr>
            </w:pPr>
            <w:r w:rsidRPr="007370B3">
              <w:rPr>
                <w:szCs w:val="24"/>
                <w:lang w:eastAsia="cs-CZ"/>
              </w:rPr>
              <w:t>Cumulative Percent</w:t>
            </w:r>
          </w:p>
        </w:tc>
      </w:tr>
      <w:tr w:rsidR="00DD509A" w:rsidRPr="007370B3" w:rsidTr="00DD509A">
        <w:trPr>
          <w:trHeight w:val="346"/>
          <w:jc w:val="center"/>
        </w:trPr>
        <w:tc>
          <w:tcPr>
            <w:tcW w:w="1780" w:type="pct"/>
            <w:vAlign w:val="center"/>
          </w:tcPr>
          <w:p w:rsidR="00DD509A" w:rsidRPr="007370B3" w:rsidRDefault="00DD509A" w:rsidP="00DD509A">
            <w:pPr>
              <w:spacing w:line="480" w:lineRule="auto"/>
              <w:rPr>
                <w:szCs w:val="24"/>
                <w:lang w:eastAsia="cs-CZ"/>
              </w:rPr>
            </w:pPr>
            <w:r w:rsidRPr="007370B3">
              <w:rPr>
                <w:szCs w:val="24"/>
                <w:lang w:eastAsia="cs-CZ"/>
              </w:rPr>
              <w:lastRenderedPageBreak/>
              <w:t>&gt;2.9 - Healthy Company</w:t>
            </w:r>
          </w:p>
        </w:tc>
        <w:tc>
          <w:tcPr>
            <w:tcW w:w="638" w:type="pct"/>
            <w:vAlign w:val="center"/>
          </w:tcPr>
          <w:p w:rsidR="00DD509A" w:rsidRPr="007370B3" w:rsidRDefault="00DD509A" w:rsidP="00DD509A">
            <w:pPr>
              <w:spacing w:line="480" w:lineRule="auto"/>
              <w:rPr>
                <w:szCs w:val="24"/>
                <w:lang w:eastAsia="cs-CZ"/>
              </w:rPr>
            </w:pPr>
            <w:r w:rsidRPr="007370B3">
              <w:rPr>
                <w:szCs w:val="24"/>
                <w:lang w:eastAsia="cs-CZ"/>
              </w:rPr>
              <w:t>7</w:t>
            </w:r>
          </w:p>
        </w:tc>
        <w:tc>
          <w:tcPr>
            <w:tcW w:w="493" w:type="pct"/>
            <w:vAlign w:val="center"/>
          </w:tcPr>
          <w:p w:rsidR="00DD509A" w:rsidRPr="007370B3" w:rsidRDefault="00DD509A" w:rsidP="00DD509A">
            <w:pPr>
              <w:spacing w:line="480" w:lineRule="auto"/>
              <w:rPr>
                <w:szCs w:val="24"/>
                <w:lang w:eastAsia="cs-CZ"/>
              </w:rPr>
            </w:pPr>
            <w:r w:rsidRPr="007370B3">
              <w:rPr>
                <w:szCs w:val="24"/>
                <w:lang w:eastAsia="cs-CZ"/>
              </w:rPr>
              <w:t>5.8%</w:t>
            </w:r>
          </w:p>
        </w:tc>
        <w:tc>
          <w:tcPr>
            <w:tcW w:w="862" w:type="pct"/>
            <w:vAlign w:val="center"/>
          </w:tcPr>
          <w:p w:rsidR="00DD509A" w:rsidRPr="007370B3" w:rsidRDefault="00DD509A" w:rsidP="00DD509A">
            <w:pPr>
              <w:spacing w:line="480" w:lineRule="auto"/>
              <w:rPr>
                <w:szCs w:val="24"/>
                <w:lang w:eastAsia="cs-CZ"/>
              </w:rPr>
            </w:pPr>
            <w:r w:rsidRPr="007370B3">
              <w:rPr>
                <w:szCs w:val="24"/>
                <w:lang w:eastAsia="cs-CZ"/>
              </w:rPr>
              <w:t>5.8%</w:t>
            </w:r>
          </w:p>
        </w:tc>
        <w:tc>
          <w:tcPr>
            <w:tcW w:w="1227" w:type="pct"/>
            <w:vAlign w:val="center"/>
          </w:tcPr>
          <w:p w:rsidR="00DD509A" w:rsidRPr="007370B3" w:rsidRDefault="00DD509A" w:rsidP="00DD509A">
            <w:pPr>
              <w:spacing w:line="480" w:lineRule="auto"/>
              <w:rPr>
                <w:szCs w:val="24"/>
                <w:lang w:eastAsia="cs-CZ"/>
              </w:rPr>
            </w:pPr>
            <w:r w:rsidRPr="007370B3">
              <w:rPr>
                <w:szCs w:val="24"/>
                <w:lang w:eastAsia="cs-CZ"/>
              </w:rPr>
              <w:t>5.8%</w:t>
            </w:r>
          </w:p>
        </w:tc>
      </w:tr>
      <w:tr w:rsidR="00DD509A" w:rsidRPr="007370B3" w:rsidTr="00DD509A">
        <w:trPr>
          <w:trHeight w:val="346"/>
          <w:jc w:val="center"/>
        </w:trPr>
        <w:tc>
          <w:tcPr>
            <w:tcW w:w="1780" w:type="pct"/>
            <w:vAlign w:val="center"/>
          </w:tcPr>
          <w:p w:rsidR="00DD509A" w:rsidRPr="007370B3" w:rsidRDefault="00DD509A" w:rsidP="00DD509A">
            <w:pPr>
              <w:spacing w:line="480" w:lineRule="auto"/>
              <w:rPr>
                <w:szCs w:val="24"/>
                <w:lang w:eastAsia="cs-CZ"/>
              </w:rPr>
            </w:pPr>
            <w:r w:rsidRPr="007370B3">
              <w:rPr>
                <w:szCs w:val="24"/>
                <w:lang w:eastAsia="cs-CZ"/>
              </w:rPr>
              <w:t>1.23 – 2.9 – Grey Zone</w:t>
            </w:r>
          </w:p>
        </w:tc>
        <w:tc>
          <w:tcPr>
            <w:tcW w:w="638" w:type="pct"/>
            <w:vAlign w:val="center"/>
          </w:tcPr>
          <w:p w:rsidR="00DD509A" w:rsidRPr="007370B3" w:rsidRDefault="00DD509A" w:rsidP="00DD509A">
            <w:pPr>
              <w:spacing w:line="480" w:lineRule="auto"/>
              <w:rPr>
                <w:szCs w:val="24"/>
                <w:lang w:eastAsia="cs-CZ"/>
              </w:rPr>
            </w:pPr>
            <w:r w:rsidRPr="007370B3">
              <w:rPr>
                <w:szCs w:val="24"/>
                <w:lang w:eastAsia="cs-CZ"/>
              </w:rPr>
              <w:t>25</w:t>
            </w:r>
          </w:p>
        </w:tc>
        <w:tc>
          <w:tcPr>
            <w:tcW w:w="493" w:type="pct"/>
            <w:vAlign w:val="center"/>
          </w:tcPr>
          <w:p w:rsidR="00DD509A" w:rsidRPr="007370B3" w:rsidRDefault="00DD509A" w:rsidP="00DD509A">
            <w:pPr>
              <w:spacing w:line="480" w:lineRule="auto"/>
              <w:rPr>
                <w:szCs w:val="24"/>
                <w:lang w:eastAsia="cs-CZ"/>
              </w:rPr>
            </w:pPr>
            <w:r w:rsidRPr="007370B3">
              <w:rPr>
                <w:szCs w:val="24"/>
                <w:lang w:eastAsia="cs-CZ"/>
              </w:rPr>
              <w:t>20.8%</w:t>
            </w:r>
          </w:p>
        </w:tc>
        <w:tc>
          <w:tcPr>
            <w:tcW w:w="862" w:type="pct"/>
            <w:vAlign w:val="center"/>
          </w:tcPr>
          <w:p w:rsidR="00DD509A" w:rsidRPr="007370B3" w:rsidRDefault="00DD509A" w:rsidP="00DD509A">
            <w:pPr>
              <w:spacing w:line="480" w:lineRule="auto"/>
              <w:rPr>
                <w:szCs w:val="24"/>
                <w:lang w:eastAsia="cs-CZ"/>
              </w:rPr>
            </w:pPr>
            <w:r w:rsidRPr="007370B3">
              <w:rPr>
                <w:szCs w:val="24"/>
                <w:lang w:eastAsia="cs-CZ"/>
              </w:rPr>
              <w:t>20.8%</w:t>
            </w:r>
          </w:p>
        </w:tc>
        <w:tc>
          <w:tcPr>
            <w:tcW w:w="1227" w:type="pct"/>
            <w:vAlign w:val="center"/>
          </w:tcPr>
          <w:p w:rsidR="00DD509A" w:rsidRPr="007370B3" w:rsidRDefault="00DD509A" w:rsidP="00DD509A">
            <w:pPr>
              <w:spacing w:line="480" w:lineRule="auto"/>
              <w:rPr>
                <w:szCs w:val="24"/>
                <w:lang w:eastAsia="cs-CZ"/>
              </w:rPr>
            </w:pPr>
            <w:r w:rsidRPr="007370B3">
              <w:rPr>
                <w:szCs w:val="24"/>
                <w:lang w:eastAsia="cs-CZ"/>
              </w:rPr>
              <w:t>26.7%</w:t>
            </w:r>
          </w:p>
        </w:tc>
      </w:tr>
      <w:tr w:rsidR="00DD509A" w:rsidRPr="007370B3" w:rsidTr="00DD509A">
        <w:trPr>
          <w:trHeight w:val="346"/>
          <w:jc w:val="center"/>
        </w:trPr>
        <w:tc>
          <w:tcPr>
            <w:tcW w:w="1780" w:type="pct"/>
            <w:vAlign w:val="center"/>
          </w:tcPr>
          <w:p w:rsidR="00DD509A" w:rsidRPr="007370B3" w:rsidRDefault="00DD509A" w:rsidP="00DD509A">
            <w:pPr>
              <w:spacing w:line="480" w:lineRule="auto"/>
              <w:rPr>
                <w:szCs w:val="24"/>
                <w:lang w:eastAsia="cs-CZ"/>
              </w:rPr>
            </w:pPr>
            <w:r w:rsidRPr="007370B3">
              <w:rPr>
                <w:szCs w:val="24"/>
                <w:lang w:eastAsia="cs-CZ"/>
              </w:rPr>
              <w:t>&lt; 1.23 – Unhealthy Company</w:t>
            </w:r>
          </w:p>
        </w:tc>
        <w:tc>
          <w:tcPr>
            <w:tcW w:w="638" w:type="pct"/>
            <w:vAlign w:val="center"/>
          </w:tcPr>
          <w:p w:rsidR="00DD509A" w:rsidRPr="007370B3" w:rsidRDefault="00DD509A" w:rsidP="00DD509A">
            <w:pPr>
              <w:spacing w:line="480" w:lineRule="auto"/>
              <w:rPr>
                <w:szCs w:val="24"/>
                <w:lang w:eastAsia="cs-CZ"/>
              </w:rPr>
            </w:pPr>
            <w:r w:rsidRPr="007370B3">
              <w:rPr>
                <w:szCs w:val="24"/>
                <w:lang w:eastAsia="cs-CZ"/>
              </w:rPr>
              <w:t>88</w:t>
            </w:r>
          </w:p>
        </w:tc>
        <w:tc>
          <w:tcPr>
            <w:tcW w:w="493" w:type="pct"/>
            <w:vAlign w:val="center"/>
          </w:tcPr>
          <w:p w:rsidR="00DD509A" w:rsidRPr="007370B3" w:rsidRDefault="00DD509A" w:rsidP="00DD509A">
            <w:pPr>
              <w:spacing w:line="480" w:lineRule="auto"/>
              <w:rPr>
                <w:szCs w:val="24"/>
                <w:lang w:eastAsia="cs-CZ"/>
              </w:rPr>
            </w:pPr>
            <w:r w:rsidRPr="007370B3">
              <w:rPr>
                <w:szCs w:val="24"/>
                <w:lang w:eastAsia="cs-CZ"/>
              </w:rPr>
              <w:t>73.3%</w:t>
            </w:r>
          </w:p>
        </w:tc>
        <w:tc>
          <w:tcPr>
            <w:tcW w:w="862" w:type="pct"/>
            <w:vAlign w:val="center"/>
          </w:tcPr>
          <w:p w:rsidR="00DD509A" w:rsidRPr="007370B3" w:rsidRDefault="00DD509A" w:rsidP="00DD509A">
            <w:pPr>
              <w:spacing w:line="480" w:lineRule="auto"/>
              <w:rPr>
                <w:szCs w:val="24"/>
                <w:lang w:eastAsia="cs-CZ"/>
              </w:rPr>
            </w:pPr>
            <w:r w:rsidRPr="007370B3">
              <w:rPr>
                <w:szCs w:val="24"/>
                <w:lang w:eastAsia="cs-CZ"/>
              </w:rPr>
              <w:t>73.3%</w:t>
            </w:r>
          </w:p>
        </w:tc>
        <w:tc>
          <w:tcPr>
            <w:tcW w:w="1227" w:type="pct"/>
            <w:vAlign w:val="center"/>
          </w:tcPr>
          <w:p w:rsidR="00DD509A" w:rsidRPr="007370B3" w:rsidRDefault="00DD509A" w:rsidP="00DD509A">
            <w:pPr>
              <w:spacing w:line="480" w:lineRule="auto"/>
              <w:rPr>
                <w:szCs w:val="24"/>
                <w:lang w:eastAsia="cs-CZ"/>
              </w:rPr>
            </w:pPr>
            <w:r w:rsidRPr="007370B3">
              <w:rPr>
                <w:szCs w:val="24"/>
                <w:lang w:eastAsia="cs-CZ"/>
              </w:rPr>
              <w:t>100.0%</w:t>
            </w:r>
          </w:p>
        </w:tc>
      </w:tr>
      <w:tr w:rsidR="00DD509A" w:rsidRPr="007370B3" w:rsidTr="00DD509A">
        <w:trPr>
          <w:trHeight w:val="346"/>
          <w:jc w:val="center"/>
        </w:trPr>
        <w:tc>
          <w:tcPr>
            <w:tcW w:w="1780" w:type="pct"/>
            <w:vAlign w:val="center"/>
          </w:tcPr>
          <w:p w:rsidR="00DD509A" w:rsidRPr="007370B3" w:rsidRDefault="00DD509A" w:rsidP="00DD509A">
            <w:pPr>
              <w:spacing w:line="480" w:lineRule="auto"/>
              <w:rPr>
                <w:szCs w:val="24"/>
                <w:lang w:eastAsia="cs-CZ"/>
              </w:rPr>
            </w:pPr>
            <w:r w:rsidRPr="007370B3">
              <w:rPr>
                <w:szCs w:val="24"/>
                <w:lang w:eastAsia="cs-CZ"/>
              </w:rPr>
              <w:t>Total</w:t>
            </w:r>
          </w:p>
        </w:tc>
        <w:tc>
          <w:tcPr>
            <w:tcW w:w="638" w:type="pct"/>
            <w:vAlign w:val="center"/>
          </w:tcPr>
          <w:p w:rsidR="00DD509A" w:rsidRPr="007370B3" w:rsidRDefault="00DD509A" w:rsidP="00DD509A">
            <w:pPr>
              <w:spacing w:line="480" w:lineRule="auto"/>
              <w:rPr>
                <w:szCs w:val="24"/>
                <w:lang w:eastAsia="cs-CZ"/>
              </w:rPr>
            </w:pPr>
            <w:r w:rsidRPr="007370B3">
              <w:rPr>
                <w:szCs w:val="24"/>
                <w:lang w:eastAsia="cs-CZ"/>
              </w:rPr>
              <w:t>120</w:t>
            </w:r>
          </w:p>
        </w:tc>
        <w:tc>
          <w:tcPr>
            <w:tcW w:w="493" w:type="pct"/>
            <w:vAlign w:val="center"/>
          </w:tcPr>
          <w:p w:rsidR="00DD509A" w:rsidRPr="007370B3" w:rsidRDefault="00DD509A" w:rsidP="00DD509A">
            <w:pPr>
              <w:spacing w:line="480" w:lineRule="auto"/>
              <w:rPr>
                <w:szCs w:val="24"/>
                <w:lang w:eastAsia="cs-CZ"/>
              </w:rPr>
            </w:pPr>
            <w:r w:rsidRPr="007370B3">
              <w:rPr>
                <w:szCs w:val="24"/>
                <w:lang w:eastAsia="cs-CZ"/>
              </w:rPr>
              <w:t>100.0%</w:t>
            </w:r>
          </w:p>
        </w:tc>
        <w:tc>
          <w:tcPr>
            <w:tcW w:w="862" w:type="pct"/>
            <w:vAlign w:val="center"/>
          </w:tcPr>
          <w:p w:rsidR="00DD509A" w:rsidRPr="007370B3" w:rsidRDefault="00DD509A" w:rsidP="00DD509A">
            <w:pPr>
              <w:spacing w:line="480" w:lineRule="auto"/>
              <w:rPr>
                <w:szCs w:val="24"/>
                <w:lang w:eastAsia="cs-CZ"/>
              </w:rPr>
            </w:pPr>
            <w:r w:rsidRPr="007370B3">
              <w:rPr>
                <w:szCs w:val="24"/>
                <w:lang w:eastAsia="cs-CZ"/>
              </w:rPr>
              <w:t>100.0%</w:t>
            </w:r>
          </w:p>
        </w:tc>
        <w:tc>
          <w:tcPr>
            <w:tcW w:w="1227" w:type="pct"/>
            <w:vAlign w:val="center"/>
          </w:tcPr>
          <w:p w:rsidR="00DD509A" w:rsidRPr="007370B3" w:rsidRDefault="00DD509A" w:rsidP="00DD509A">
            <w:pPr>
              <w:spacing w:line="480" w:lineRule="auto"/>
              <w:rPr>
                <w:szCs w:val="24"/>
                <w:lang w:eastAsia="cs-CZ"/>
              </w:rPr>
            </w:pPr>
            <w:r w:rsidRPr="007370B3">
              <w:rPr>
                <w:szCs w:val="24"/>
                <w:lang w:eastAsia="cs-CZ"/>
              </w:rPr>
              <w:t> </w:t>
            </w:r>
          </w:p>
        </w:tc>
      </w:tr>
    </w:tbl>
    <w:p w:rsidR="00DD509A" w:rsidRPr="007370B3" w:rsidRDefault="00DD509A" w:rsidP="00DD509A">
      <w:pPr>
        <w:pStyle w:val="Paragraphbody0ident"/>
        <w:rPr>
          <w:sz w:val="24"/>
        </w:rPr>
      </w:pPr>
    </w:p>
    <w:p w:rsidR="00DD509A" w:rsidRPr="007370B3" w:rsidRDefault="00DD509A" w:rsidP="007370B3">
      <w:pPr>
        <w:pStyle w:val="Paragraphbody0ident"/>
        <w:spacing w:before="120" w:after="120"/>
        <w:rPr>
          <w:sz w:val="24"/>
        </w:rPr>
      </w:pPr>
      <w:r w:rsidRPr="007370B3">
        <w:rPr>
          <w:sz w:val="24"/>
        </w:rPr>
        <w:t>The results show that over 90% of the companies were not classified as healthy because the financial performance belonged to the grey or, even worse, the unhealthy zone. Less than 6% of the companies were classified as healthy according to the Altman Z-Score. The development of financial indicators has already proved that the financial situation has deteriorated during the analyzed time period. Therefore the development of Altman Z-Score will be analyzed as well. Table 10 includes descriptive statistics of the final value of the Altman Z-Score. There the time periods of one, two or three year periods are strictly separated before the insolvency proposal.</w:t>
      </w:r>
    </w:p>
    <w:p w:rsidR="007370B3" w:rsidRPr="007370B3" w:rsidRDefault="007370B3" w:rsidP="007370B3">
      <w:pPr>
        <w:pStyle w:val="Paragraphbody0ident"/>
        <w:spacing w:before="120" w:after="120"/>
        <w:rPr>
          <w:sz w:val="24"/>
        </w:rPr>
      </w:pPr>
    </w:p>
    <w:p w:rsidR="00DD509A" w:rsidRPr="007370B3" w:rsidRDefault="00DD509A" w:rsidP="00DD509A">
      <w:pPr>
        <w:pStyle w:val="Tabletitle"/>
        <w:rPr>
          <w:sz w:val="24"/>
        </w:rPr>
      </w:pPr>
      <w:proofErr w:type="gramStart"/>
      <w:r w:rsidRPr="007370B3">
        <w:rPr>
          <w:sz w:val="24"/>
        </w:rPr>
        <w:t>Table 10.</w:t>
      </w:r>
      <w:proofErr w:type="gramEnd"/>
      <w:r w:rsidRPr="007370B3">
        <w:rPr>
          <w:sz w:val="24"/>
        </w:rPr>
        <w:t xml:space="preserve"> Descriptive statistics of Altman Z-</w:t>
      </w:r>
      <w:proofErr w:type="gramStart"/>
      <w:r w:rsidRPr="007370B3">
        <w:rPr>
          <w:sz w:val="24"/>
        </w:rPr>
        <w:t>Score</w:t>
      </w:r>
      <w:proofErr w:type="gramEnd"/>
      <w:r w:rsidRPr="007370B3">
        <w:rPr>
          <w:sz w:val="24"/>
        </w:rPr>
        <w:br/>
        <w:t>(source: author based on Bisnode Magnusweb)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431"/>
        <w:gridCol w:w="1865"/>
        <w:gridCol w:w="1230"/>
        <w:gridCol w:w="1566"/>
        <w:gridCol w:w="990"/>
      </w:tblGrid>
      <w:tr w:rsidR="00DD509A" w:rsidRPr="007370B3" w:rsidTr="00DD509A">
        <w:trPr>
          <w:trHeight w:val="346"/>
          <w:jc w:val="center"/>
        </w:trPr>
        <w:tc>
          <w:tcPr>
            <w:tcW w:w="2916" w:type="pct"/>
            <w:gridSpan w:val="2"/>
            <w:vMerge w:val="restart"/>
            <w:vAlign w:val="bottom"/>
          </w:tcPr>
          <w:p w:rsidR="00DD509A" w:rsidRPr="007370B3" w:rsidRDefault="00DD509A" w:rsidP="00DD509A">
            <w:pPr>
              <w:spacing w:line="480" w:lineRule="auto"/>
              <w:rPr>
                <w:szCs w:val="24"/>
                <w:lang w:eastAsia="cs-CZ"/>
              </w:rPr>
            </w:pPr>
          </w:p>
        </w:tc>
        <w:tc>
          <w:tcPr>
            <w:tcW w:w="2084" w:type="pct"/>
            <w:gridSpan w:val="3"/>
            <w:vAlign w:val="center"/>
          </w:tcPr>
          <w:p w:rsidR="00DD509A" w:rsidRPr="007370B3" w:rsidRDefault="00DD509A" w:rsidP="00DD509A">
            <w:pPr>
              <w:spacing w:line="480" w:lineRule="auto"/>
              <w:jc w:val="center"/>
              <w:rPr>
                <w:szCs w:val="24"/>
                <w:lang w:eastAsia="cs-CZ"/>
              </w:rPr>
            </w:pPr>
            <w:r w:rsidRPr="007370B3">
              <w:rPr>
                <w:szCs w:val="24"/>
                <w:lang w:eastAsia="cs-CZ"/>
              </w:rPr>
              <w:t>Before Insolvency Proposal</w:t>
            </w:r>
          </w:p>
        </w:tc>
      </w:tr>
      <w:tr w:rsidR="00DD509A" w:rsidRPr="007370B3" w:rsidTr="00DD509A">
        <w:trPr>
          <w:trHeight w:val="346"/>
          <w:jc w:val="center"/>
        </w:trPr>
        <w:tc>
          <w:tcPr>
            <w:tcW w:w="2916" w:type="pct"/>
            <w:gridSpan w:val="2"/>
            <w:vMerge/>
          </w:tcPr>
          <w:p w:rsidR="00DD509A" w:rsidRPr="007370B3" w:rsidRDefault="00DD509A" w:rsidP="00DD509A">
            <w:pPr>
              <w:spacing w:line="480" w:lineRule="auto"/>
              <w:rPr>
                <w:szCs w:val="24"/>
              </w:rPr>
            </w:pPr>
          </w:p>
        </w:tc>
        <w:tc>
          <w:tcPr>
            <w:tcW w:w="677" w:type="pct"/>
            <w:vAlign w:val="bottom"/>
          </w:tcPr>
          <w:p w:rsidR="00DD509A" w:rsidRPr="007370B3" w:rsidRDefault="00DD509A" w:rsidP="00DD509A">
            <w:pPr>
              <w:spacing w:line="480" w:lineRule="auto"/>
              <w:jc w:val="center"/>
              <w:rPr>
                <w:szCs w:val="24"/>
                <w:lang w:eastAsia="cs-CZ"/>
              </w:rPr>
            </w:pPr>
            <w:r w:rsidRPr="007370B3">
              <w:rPr>
                <w:szCs w:val="24"/>
                <w:lang w:eastAsia="cs-CZ"/>
              </w:rPr>
              <w:t>1 Year</w:t>
            </w:r>
          </w:p>
        </w:tc>
        <w:tc>
          <w:tcPr>
            <w:tcW w:w="862" w:type="pct"/>
            <w:vAlign w:val="bottom"/>
          </w:tcPr>
          <w:p w:rsidR="00DD509A" w:rsidRPr="007370B3" w:rsidRDefault="00DD509A" w:rsidP="00DD509A">
            <w:pPr>
              <w:spacing w:line="480" w:lineRule="auto"/>
              <w:jc w:val="center"/>
              <w:rPr>
                <w:szCs w:val="24"/>
                <w:lang w:eastAsia="cs-CZ"/>
              </w:rPr>
            </w:pPr>
            <w:r w:rsidRPr="007370B3">
              <w:rPr>
                <w:szCs w:val="24"/>
                <w:lang w:eastAsia="cs-CZ"/>
              </w:rPr>
              <w:t>2 Years</w:t>
            </w:r>
          </w:p>
        </w:tc>
        <w:tc>
          <w:tcPr>
            <w:tcW w:w="545" w:type="pct"/>
            <w:vAlign w:val="bottom"/>
          </w:tcPr>
          <w:p w:rsidR="00DD509A" w:rsidRPr="007370B3" w:rsidRDefault="00DD509A" w:rsidP="00DD509A">
            <w:pPr>
              <w:spacing w:line="480" w:lineRule="auto"/>
              <w:jc w:val="center"/>
              <w:rPr>
                <w:szCs w:val="24"/>
                <w:lang w:eastAsia="cs-CZ"/>
              </w:rPr>
            </w:pPr>
            <w:r w:rsidRPr="007370B3">
              <w:rPr>
                <w:szCs w:val="24"/>
                <w:lang w:eastAsia="cs-CZ"/>
              </w:rPr>
              <w:t xml:space="preserve">3 Years </w:t>
            </w:r>
          </w:p>
        </w:tc>
      </w:tr>
      <w:tr w:rsidR="00DD509A" w:rsidRPr="007370B3" w:rsidTr="00DD509A">
        <w:trPr>
          <w:trHeight w:val="346"/>
          <w:jc w:val="center"/>
        </w:trPr>
        <w:tc>
          <w:tcPr>
            <w:tcW w:w="2916" w:type="pct"/>
            <w:gridSpan w:val="2"/>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Median</w:t>
            </w:r>
          </w:p>
        </w:tc>
        <w:tc>
          <w:tcPr>
            <w:tcW w:w="677"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-1.58</w:t>
            </w:r>
          </w:p>
        </w:tc>
        <w:tc>
          <w:tcPr>
            <w:tcW w:w="862"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0.26</w:t>
            </w:r>
          </w:p>
        </w:tc>
        <w:tc>
          <w:tcPr>
            <w:tcW w:w="545"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0.53</w:t>
            </w:r>
          </w:p>
        </w:tc>
      </w:tr>
      <w:tr w:rsidR="00DD509A" w:rsidRPr="007370B3" w:rsidTr="00DD509A">
        <w:trPr>
          <w:trHeight w:val="346"/>
          <w:jc w:val="center"/>
        </w:trPr>
        <w:tc>
          <w:tcPr>
            <w:tcW w:w="2916" w:type="pct"/>
            <w:gridSpan w:val="2"/>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Variance</w:t>
            </w:r>
          </w:p>
        </w:tc>
        <w:tc>
          <w:tcPr>
            <w:tcW w:w="677"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44.82</w:t>
            </w:r>
          </w:p>
        </w:tc>
        <w:tc>
          <w:tcPr>
            <w:tcW w:w="862"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3.36</w:t>
            </w:r>
          </w:p>
        </w:tc>
        <w:tc>
          <w:tcPr>
            <w:tcW w:w="545"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14591.47</w:t>
            </w:r>
          </w:p>
        </w:tc>
      </w:tr>
      <w:tr w:rsidR="00DD509A" w:rsidRPr="007370B3" w:rsidTr="00DD509A">
        <w:trPr>
          <w:trHeight w:val="346"/>
          <w:jc w:val="center"/>
        </w:trPr>
        <w:tc>
          <w:tcPr>
            <w:tcW w:w="2916" w:type="pct"/>
            <w:gridSpan w:val="2"/>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St. Deviation</w:t>
            </w:r>
          </w:p>
        </w:tc>
        <w:tc>
          <w:tcPr>
            <w:tcW w:w="677"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6.69</w:t>
            </w:r>
          </w:p>
        </w:tc>
        <w:tc>
          <w:tcPr>
            <w:tcW w:w="862"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1.83</w:t>
            </w:r>
          </w:p>
        </w:tc>
        <w:tc>
          <w:tcPr>
            <w:tcW w:w="545"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120.80</w:t>
            </w:r>
          </w:p>
        </w:tc>
      </w:tr>
      <w:tr w:rsidR="00DD509A" w:rsidRPr="007370B3" w:rsidTr="00DD509A">
        <w:trPr>
          <w:trHeight w:val="346"/>
          <w:jc w:val="center"/>
        </w:trPr>
        <w:tc>
          <w:tcPr>
            <w:tcW w:w="2916" w:type="pct"/>
            <w:gridSpan w:val="2"/>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Minimum</w:t>
            </w:r>
          </w:p>
        </w:tc>
        <w:tc>
          <w:tcPr>
            <w:tcW w:w="677"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-33.74</w:t>
            </w:r>
          </w:p>
        </w:tc>
        <w:tc>
          <w:tcPr>
            <w:tcW w:w="862"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-4.51</w:t>
            </w:r>
          </w:p>
        </w:tc>
        <w:tc>
          <w:tcPr>
            <w:tcW w:w="545"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-54.52</w:t>
            </w:r>
          </w:p>
        </w:tc>
      </w:tr>
      <w:tr w:rsidR="00DD509A" w:rsidRPr="007370B3" w:rsidTr="00DD509A">
        <w:trPr>
          <w:trHeight w:val="346"/>
          <w:jc w:val="center"/>
        </w:trPr>
        <w:tc>
          <w:tcPr>
            <w:tcW w:w="2916" w:type="pct"/>
            <w:gridSpan w:val="2"/>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Maximum</w:t>
            </w:r>
          </w:p>
        </w:tc>
        <w:tc>
          <w:tcPr>
            <w:tcW w:w="677"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5.98</w:t>
            </w:r>
          </w:p>
        </w:tc>
        <w:tc>
          <w:tcPr>
            <w:tcW w:w="862"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3.71</w:t>
            </w:r>
          </w:p>
        </w:tc>
        <w:tc>
          <w:tcPr>
            <w:tcW w:w="545"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840.72</w:t>
            </w:r>
          </w:p>
        </w:tc>
      </w:tr>
      <w:tr w:rsidR="00DD509A" w:rsidRPr="007370B3" w:rsidTr="00DD509A">
        <w:trPr>
          <w:trHeight w:val="346"/>
          <w:jc w:val="center"/>
        </w:trPr>
        <w:tc>
          <w:tcPr>
            <w:tcW w:w="1889" w:type="pct"/>
            <w:vAlign w:val="center"/>
          </w:tcPr>
          <w:p w:rsidR="00DD509A" w:rsidRPr="007370B3" w:rsidRDefault="00DD509A" w:rsidP="00DD509A">
            <w:pPr>
              <w:spacing w:line="480" w:lineRule="auto"/>
              <w:rPr>
                <w:color w:val="000000"/>
                <w:szCs w:val="24"/>
                <w:lang w:eastAsia="cs-CZ"/>
              </w:rPr>
            </w:pPr>
            <w:r w:rsidRPr="007370B3">
              <w:rPr>
                <w:color w:val="000000"/>
                <w:szCs w:val="24"/>
                <w:lang w:eastAsia="cs-CZ"/>
              </w:rPr>
              <w:t>Percentiles</w:t>
            </w:r>
          </w:p>
        </w:tc>
        <w:tc>
          <w:tcPr>
            <w:tcW w:w="1027" w:type="pct"/>
            <w:vAlign w:val="bottom"/>
          </w:tcPr>
          <w:p w:rsidR="00DD509A" w:rsidRPr="007370B3" w:rsidRDefault="00DD509A" w:rsidP="00DD509A">
            <w:pPr>
              <w:spacing w:line="480" w:lineRule="auto"/>
              <w:rPr>
                <w:szCs w:val="24"/>
                <w:lang w:eastAsia="cs-CZ"/>
              </w:rPr>
            </w:pPr>
            <w:r w:rsidRPr="007370B3">
              <w:rPr>
                <w:szCs w:val="24"/>
                <w:lang w:eastAsia="cs-CZ"/>
              </w:rPr>
              <w:t>25</w:t>
            </w:r>
          </w:p>
        </w:tc>
        <w:tc>
          <w:tcPr>
            <w:tcW w:w="677"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-2.75</w:t>
            </w:r>
          </w:p>
        </w:tc>
        <w:tc>
          <w:tcPr>
            <w:tcW w:w="862"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-0.87</w:t>
            </w:r>
          </w:p>
        </w:tc>
        <w:tc>
          <w:tcPr>
            <w:tcW w:w="545"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-0.51</w:t>
            </w:r>
          </w:p>
        </w:tc>
      </w:tr>
      <w:tr w:rsidR="00DD509A" w:rsidRPr="007370B3" w:rsidTr="00DD509A">
        <w:trPr>
          <w:trHeight w:val="346"/>
          <w:jc w:val="center"/>
        </w:trPr>
        <w:tc>
          <w:tcPr>
            <w:tcW w:w="1889" w:type="pct"/>
            <w:vMerge w:val="restart"/>
            <w:vAlign w:val="center"/>
          </w:tcPr>
          <w:p w:rsidR="00DD509A" w:rsidRPr="007370B3" w:rsidRDefault="00DD509A" w:rsidP="00DD509A">
            <w:pPr>
              <w:spacing w:line="480" w:lineRule="auto"/>
              <w:rPr>
                <w:bCs/>
                <w:szCs w:val="24"/>
                <w:lang w:eastAsia="cs-CZ"/>
              </w:rPr>
            </w:pPr>
          </w:p>
        </w:tc>
        <w:tc>
          <w:tcPr>
            <w:tcW w:w="1027" w:type="pct"/>
            <w:vAlign w:val="bottom"/>
          </w:tcPr>
          <w:p w:rsidR="00DD509A" w:rsidRPr="007370B3" w:rsidRDefault="00DD509A" w:rsidP="00DD509A">
            <w:pPr>
              <w:spacing w:line="480" w:lineRule="auto"/>
              <w:rPr>
                <w:szCs w:val="24"/>
                <w:lang w:eastAsia="cs-CZ"/>
              </w:rPr>
            </w:pPr>
            <w:r w:rsidRPr="007370B3">
              <w:rPr>
                <w:szCs w:val="24"/>
                <w:lang w:eastAsia="cs-CZ"/>
              </w:rPr>
              <w:t>50</w:t>
            </w:r>
          </w:p>
        </w:tc>
        <w:tc>
          <w:tcPr>
            <w:tcW w:w="677"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-1.58</w:t>
            </w:r>
          </w:p>
        </w:tc>
        <w:tc>
          <w:tcPr>
            <w:tcW w:w="862"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0.26</w:t>
            </w:r>
          </w:p>
        </w:tc>
        <w:tc>
          <w:tcPr>
            <w:tcW w:w="545"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0.53</w:t>
            </w:r>
          </w:p>
        </w:tc>
      </w:tr>
      <w:tr w:rsidR="00DD509A" w:rsidRPr="007370B3" w:rsidTr="00DD509A">
        <w:trPr>
          <w:trHeight w:val="346"/>
          <w:jc w:val="center"/>
        </w:trPr>
        <w:tc>
          <w:tcPr>
            <w:tcW w:w="1889" w:type="pct"/>
            <w:vMerge/>
            <w:vAlign w:val="center"/>
          </w:tcPr>
          <w:p w:rsidR="00DD509A" w:rsidRPr="007370B3" w:rsidRDefault="00DD509A" w:rsidP="00DD509A">
            <w:pPr>
              <w:spacing w:line="480" w:lineRule="auto"/>
              <w:rPr>
                <w:color w:val="000000"/>
                <w:szCs w:val="24"/>
                <w:lang w:eastAsia="cs-CZ"/>
              </w:rPr>
            </w:pPr>
          </w:p>
        </w:tc>
        <w:tc>
          <w:tcPr>
            <w:tcW w:w="1027" w:type="pct"/>
            <w:vAlign w:val="bottom"/>
          </w:tcPr>
          <w:p w:rsidR="00DD509A" w:rsidRPr="007370B3" w:rsidRDefault="00DD509A" w:rsidP="00DD509A">
            <w:pPr>
              <w:spacing w:line="480" w:lineRule="auto"/>
              <w:rPr>
                <w:szCs w:val="24"/>
                <w:lang w:eastAsia="cs-CZ"/>
              </w:rPr>
            </w:pPr>
            <w:r w:rsidRPr="007370B3">
              <w:rPr>
                <w:szCs w:val="24"/>
                <w:lang w:eastAsia="cs-CZ"/>
              </w:rPr>
              <w:t>75</w:t>
            </w:r>
          </w:p>
        </w:tc>
        <w:tc>
          <w:tcPr>
            <w:tcW w:w="677"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0.98</w:t>
            </w:r>
          </w:p>
        </w:tc>
        <w:tc>
          <w:tcPr>
            <w:tcW w:w="862"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1.32</w:t>
            </w:r>
          </w:p>
        </w:tc>
        <w:tc>
          <w:tcPr>
            <w:tcW w:w="545" w:type="pct"/>
            <w:vAlign w:val="bottom"/>
          </w:tcPr>
          <w:p w:rsidR="00DD509A" w:rsidRPr="007370B3" w:rsidRDefault="00DD509A" w:rsidP="00DD509A">
            <w:pPr>
              <w:spacing w:line="480" w:lineRule="auto"/>
              <w:rPr>
                <w:color w:val="000000"/>
                <w:szCs w:val="24"/>
                <w:lang w:eastAsia="cs-CZ"/>
              </w:rPr>
            </w:pPr>
            <w:r w:rsidRPr="007370B3">
              <w:rPr>
                <w:color w:val="000000"/>
                <w:szCs w:val="24"/>
                <w:lang w:eastAsia="cs-CZ"/>
              </w:rPr>
              <w:t>1.49</w:t>
            </w:r>
          </w:p>
        </w:tc>
      </w:tr>
    </w:tbl>
    <w:p w:rsidR="00DD509A" w:rsidRPr="007370B3" w:rsidRDefault="00DD509A" w:rsidP="00DD509A">
      <w:pPr>
        <w:pStyle w:val="Paragraphbody0ident"/>
        <w:rPr>
          <w:sz w:val="24"/>
        </w:rPr>
      </w:pPr>
    </w:p>
    <w:p w:rsidR="00DD509A" w:rsidRPr="007370B3" w:rsidRDefault="00DD509A" w:rsidP="007370B3">
      <w:pPr>
        <w:pStyle w:val="Paragraphbody0ident"/>
        <w:spacing w:before="120" w:after="120"/>
        <w:rPr>
          <w:sz w:val="24"/>
        </w:rPr>
      </w:pPr>
      <w:r w:rsidRPr="007370B3">
        <w:rPr>
          <w:sz w:val="24"/>
        </w:rPr>
        <w:t>The Altman Z-Score presents a bankruptcy model with the highest worldwide popularity. Descriptive statistics contained in table 12 prove that financial performance of a majority of the companies was very poor. The time period does not play such an important role because the financial performance is poor in all three time periods. A value lower than 1.23 (unhealthy zone) is reached by more than 50% of the analyzed units in all three time periods. For the one year period before the insolvency proposal, this is valid for more than 75% of the cases. On the other hand, according to the maximal values, there are healthy units classified in all three time periods. Unfortunately, their occurrence is limited.</w:t>
      </w:r>
    </w:p>
    <w:p w:rsidR="007370B3" w:rsidRPr="007370B3" w:rsidRDefault="007370B3" w:rsidP="007370B3">
      <w:pPr>
        <w:pStyle w:val="Paragraphbody0ident"/>
        <w:spacing w:before="120" w:after="120"/>
        <w:rPr>
          <w:sz w:val="24"/>
        </w:rPr>
      </w:pPr>
    </w:p>
    <w:p w:rsidR="00DD509A" w:rsidRPr="007370B3" w:rsidRDefault="007370B3" w:rsidP="007370B3">
      <w:pPr>
        <w:spacing w:before="120" w:after="120"/>
        <w:rPr>
          <w:b/>
          <w:szCs w:val="24"/>
        </w:rPr>
      </w:pPr>
      <w:r w:rsidRPr="007370B3">
        <w:rPr>
          <w:b/>
          <w:szCs w:val="24"/>
        </w:rPr>
        <w:t xml:space="preserve">4. </w:t>
      </w:r>
      <w:r w:rsidR="00DD509A" w:rsidRPr="007370B3">
        <w:rPr>
          <w:b/>
          <w:szCs w:val="24"/>
        </w:rPr>
        <w:t>Discussion</w:t>
      </w:r>
    </w:p>
    <w:p w:rsidR="00DD509A" w:rsidRPr="007370B3" w:rsidRDefault="00DD509A" w:rsidP="007370B3">
      <w:pPr>
        <w:spacing w:before="120" w:after="120"/>
        <w:rPr>
          <w:color w:val="FF0000"/>
          <w:spacing w:val="2"/>
          <w:szCs w:val="24"/>
          <w:lang w:val="en-US"/>
        </w:rPr>
      </w:pPr>
      <w:r w:rsidRPr="007370B3">
        <w:rPr>
          <w:spacing w:val="2"/>
          <w:szCs w:val="24"/>
          <w:lang w:val="en-US"/>
        </w:rPr>
        <w:t xml:space="preserve">The selected indicators and the bankruptcy model of the Altman Z-Score presented very low financial performance of the companies included in the analyzed data sample. Unfortunately, it means that the companies enter the insolvency proceeding with very bad financial results and this could have a serious consequence. The poor financial situation of a company decreases the probability of successful reorganization (rescue) even though the reorganization is prepared before the beginning of the insolvency proposal. On the other hand, the prepared reorganization plan and informing creditors in advance increase the chance of a successful rehabilitation according to the Insolvency Act. However, this paper has its limitations which should be mentioned. The first limitation is the sample size. The sample contains 120 annual financial statements which describe 53 companies in total. Partly it is caused by unpublished disclosures (Bokšová, &amp; Randáková, 2013). The second limitation is that the reorganization principle is hardly used in the Czech Republic (Smrčka, Arltová, &amp; Schönfeld, 2013) and there are not many more cases which can be classified as pre-packed insolvencies. The third limitation is the sample heterogeneity which is observable when comparing the size of the companies, the industry branches and the year of the insolvency proposal. It is predominantly in the period of economic crisis when the insolvency proposals are submitted. Such period is specific given the overall economic conditions (Malega, &amp; Horvath, 2017 or Cihak, 2009). Other limitations result from the conditions in the Czech Republic, not only legal but also institutional. The authors analyzing quality of the entrepreneurial environment in the Czech Republic mention that there are significant barriers (Cepel, Stasiukynas, Kotaskova, &amp;Dvorsky, 2018; </w:t>
      </w:r>
      <w:r w:rsidRPr="007370B3">
        <w:rPr>
          <w:szCs w:val="24"/>
        </w:rPr>
        <w:t>Ključnikov, Kozubíková, &amp; Sopková, 2017</w:t>
      </w:r>
      <w:r w:rsidRPr="007370B3">
        <w:rPr>
          <w:spacing w:val="2"/>
          <w:szCs w:val="24"/>
          <w:lang w:val="en-US"/>
        </w:rPr>
        <w:t>).</w:t>
      </w:r>
    </w:p>
    <w:p w:rsidR="00DD509A" w:rsidRPr="007370B3" w:rsidRDefault="00DD509A" w:rsidP="007370B3">
      <w:pPr>
        <w:spacing w:before="120" w:after="120"/>
        <w:ind w:firstLine="284"/>
        <w:rPr>
          <w:spacing w:val="2"/>
          <w:szCs w:val="24"/>
        </w:rPr>
      </w:pPr>
      <w:r w:rsidRPr="007370B3">
        <w:rPr>
          <w:spacing w:val="2"/>
          <w:szCs w:val="24"/>
          <w:lang w:val="en-US"/>
        </w:rPr>
        <w:t xml:space="preserve">The specific results of the conducted analysis show low financial performance of pre-packed insolvency cases. It is partly surprising because of the special position of pre-packs already discussed. It proves findings that Czech companies enter insolvency proceedings too late and they are completely empty of property (Kislingerová, Richter, &amp; Smrčka, 2013 or Čámská, 2013). On the other hand these results lead to a consequence that the financial </w:t>
      </w:r>
      <w:r w:rsidRPr="007370B3">
        <w:rPr>
          <w:spacing w:val="2"/>
          <w:szCs w:val="24"/>
        </w:rPr>
        <w:t>situation is not the key component for the creditors and they approve the reorganization regardless of the financial conditions. There have to exist other motives for creditors and the approvals of the reorganization principle.</w:t>
      </w:r>
    </w:p>
    <w:p w:rsidR="007370B3" w:rsidRPr="007370B3" w:rsidRDefault="007370B3" w:rsidP="007370B3">
      <w:pPr>
        <w:spacing w:before="120" w:after="120"/>
        <w:ind w:firstLine="284"/>
        <w:rPr>
          <w:spacing w:val="2"/>
          <w:szCs w:val="24"/>
        </w:rPr>
      </w:pPr>
    </w:p>
    <w:p w:rsidR="00DD509A" w:rsidRPr="007370B3" w:rsidRDefault="00DD509A" w:rsidP="007370B3">
      <w:pPr>
        <w:spacing w:before="120" w:after="120"/>
        <w:rPr>
          <w:b/>
          <w:szCs w:val="24"/>
        </w:rPr>
      </w:pPr>
      <w:r w:rsidRPr="007370B3">
        <w:rPr>
          <w:b/>
          <w:szCs w:val="24"/>
        </w:rPr>
        <w:lastRenderedPageBreak/>
        <w:t>Conclusion</w:t>
      </w:r>
    </w:p>
    <w:p w:rsidR="00DD509A" w:rsidRPr="007370B3" w:rsidRDefault="00DD509A" w:rsidP="007370B3">
      <w:pPr>
        <w:pStyle w:val="Paragraphbody0ident"/>
        <w:spacing w:before="120" w:after="120"/>
        <w:rPr>
          <w:sz w:val="24"/>
        </w:rPr>
      </w:pPr>
      <w:r w:rsidRPr="007370B3">
        <w:rPr>
          <w:sz w:val="24"/>
        </w:rPr>
        <w:t>This paper was focused on the financial situation of the companies entering insolvency proceedings with the already prepared and approved reorganization plan (also called pre-packed insolvency) in the Czech Republic. These insolvency cases are solved according to Czech insolvency law which was highly modernized in 2008 following the models from other developed countries. The financial health or performance of a company was assessed using financial ratios and variables such as the EBITDA margin, the cash liquidity ratio, the working capital ratio, the debt ratio and ROA accompanied by the bankruptcy model: the Altman Z-Score. The results of these chosen indicators showed that most of the companies had very poor and weak financial performances three or two years before the insolvency proposal. It can be stated that the companies are in the last stage of the corporate crisis when they prepare the reorganization plan. The financial rehabilitation should be realized much earlier and it does not matter if it is or isn’t the insolvency reorganization. It is difficult to answer why the companies react so late. The first systemic explanation could be the motivation of managers who want to hide their failure. If the managers are also the company´s owners, they do not want to see the real situation. This means that they could lose their own company which they have been building for decades. We cannot exclude considerations about motivation to harm the creditors. Other research could be directed to the results of these pre-packed insolvencies and to a comparison between prepack insolvencies and the usual way of reorganization. The usual way of reorganization is the preparation of the reorganization plan after the insolvency proposal. This prolongs the solution and contributes to possible further deterioration. This leads to the assumption of better results of pre-packed insolvencies.</w:t>
      </w:r>
    </w:p>
    <w:p w:rsidR="007370B3" w:rsidRDefault="007370B3" w:rsidP="007370B3">
      <w:pPr>
        <w:pStyle w:val="Paragraphbody0ident"/>
        <w:spacing w:before="120" w:after="120"/>
      </w:pPr>
    </w:p>
    <w:p w:rsidR="00DD509A" w:rsidRPr="007370B3" w:rsidRDefault="00DD509A" w:rsidP="007370B3">
      <w:pPr>
        <w:spacing w:before="120" w:after="120"/>
        <w:rPr>
          <w:b/>
          <w:szCs w:val="24"/>
        </w:rPr>
      </w:pPr>
      <w:r w:rsidRPr="007370B3">
        <w:rPr>
          <w:b/>
          <w:szCs w:val="24"/>
        </w:rPr>
        <w:t>References</w:t>
      </w:r>
    </w:p>
    <w:p w:rsidR="00DD509A" w:rsidRPr="007370B3" w:rsidRDefault="00DD509A" w:rsidP="007370B3">
      <w:pPr>
        <w:widowControl w:val="0"/>
        <w:autoSpaceDE w:val="0"/>
        <w:autoSpaceDN w:val="0"/>
        <w:adjustRightInd w:val="0"/>
        <w:spacing w:before="120" w:after="120"/>
        <w:ind w:left="425" w:hanging="425"/>
        <w:textAlignment w:val="center"/>
        <w:rPr>
          <w:szCs w:val="24"/>
        </w:rPr>
      </w:pPr>
      <w:r w:rsidRPr="007370B3">
        <w:rPr>
          <w:szCs w:val="24"/>
        </w:rPr>
        <w:t xml:space="preserve">Altman, E. I., &amp; Hotchkiss, E. (2010). </w:t>
      </w:r>
      <w:r w:rsidRPr="007370B3">
        <w:rPr>
          <w:i/>
          <w:szCs w:val="24"/>
        </w:rPr>
        <w:t>Corporate financial distress and bankruptcy: Predict and avoid bankruptcy, analyze and invest in distressed debt</w:t>
      </w:r>
      <w:r w:rsidRPr="007370B3">
        <w:rPr>
          <w:szCs w:val="24"/>
        </w:rPr>
        <w:t>. John Wiley &amp; Sons.</w:t>
      </w:r>
    </w:p>
    <w:p w:rsidR="00DD509A" w:rsidRPr="007370B3" w:rsidRDefault="00DD509A" w:rsidP="007370B3">
      <w:pPr>
        <w:widowControl w:val="0"/>
        <w:autoSpaceDE w:val="0"/>
        <w:autoSpaceDN w:val="0"/>
        <w:adjustRightInd w:val="0"/>
        <w:spacing w:before="120" w:after="120"/>
        <w:ind w:left="425" w:hanging="425"/>
        <w:textAlignment w:val="center"/>
        <w:rPr>
          <w:color w:val="0000FF"/>
          <w:szCs w:val="24"/>
          <w:u w:val="single"/>
        </w:rPr>
      </w:pPr>
      <w:r w:rsidRPr="007370B3">
        <w:rPr>
          <w:szCs w:val="24"/>
        </w:rPr>
        <w:t xml:space="preserve">Altman, E. I. (1968). Financial ratios, discriminant analysis and the prediction of corporate bankruptcy. </w:t>
      </w:r>
      <w:r w:rsidRPr="007370B3">
        <w:rPr>
          <w:i/>
          <w:szCs w:val="24"/>
        </w:rPr>
        <w:t>The Journal of Finance, 23</w:t>
      </w:r>
      <w:r w:rsidRPr="007370B3">
        <w:rPr>
          <w:szCs w:val="24"/>
        </w:rPr>
        <w:t xml:space="preserve">(4), 589-609. </w:t>
      </w:r>
      <w:r w:rsidRPr="007370B3">
        <w:rPr>
          <w:color w:val="0000FF"/>
          <w:szCs w:val="24"/>
          <w:u w:val="single"/>
        </w:rPr>
        <w:t>https://doi.org/10.1111/j.1540-6261.1968.tb00843.x</w:t>
      </w:r>
    </w:p>
    <w:p w:rsidR="00DD509A" w:rsidRPr="007370B3" w:rsidRDefault="00DD509A" w:rsidP="007370B3">
      <w:pPr>
        <w:widowControl w:val="0"/>
        <w:autoSpaceDE w:val="0"/>
        <w:autoSpaceDN w:val="0"/>
        <w:adjustRightInd w:val="0"/>
        <w:spacing w:before="120" w:after="120"/>
        <w:ind w:left="425" w:hanging="425"/>
        <w:textAlignment w:val="center"/>
        <w:rPr>
          <w:color w:val="0000FF"/>
          <w:szCs w:val="24"/>
          <w:u w:val="single"/>
        </w:rPr>
      </w:pPr>
      <w:r w:rsidRPr="007370B3">
        <w:rPr>
          <w:szCs w:val="24"/>
        </w:rPr>
        <w:t xml:space="preserve">Appiah, K. O., Chizema, A., &amp; Arthur, J. (2015). Predicting corporate failure: a systematic literature review of methodological issues. </w:t>
      </w:r>
      <w:r w:rsidRPr="007370B3">
        <w:rPr>
          <w:i/>
          <w:szCs w:val="24"/>
        </w:rPr>
        <w:t xml:space="preserve">International Journal of </w:t>
      </w:r>
      <w:proofErr w:type="gramStart"/>
      <w:r w:rsidRPr="007370B3">
        <w:rPr>
          <w:i/>
          <w:szCs w:val="24"/>
        </w:rPr>
        <w:t>Law</w:t>
      </w:r>
      <w:proofErr w:type="gramEnd"/>
      <w:r w:rsidRPr="007370B3">
        <w:rPr>
          <w:i/>
          <w:szCs w:val="24"/>
        </w:rPr>
        <w:t xml:space="preserve"> and Management, 57</w:t>
      </w:r>
      <w:r w:rsidRPr="007370B3">
        <w:rPr>
          <w:szCs w:val="24"/>
        </w:rPr>
        <w:t xml:space="preserve">(5), 461-485. </w:t>
      </w:r>
      <w:r w:rsidRPr="007370B3">
        <w:rPr>
          <w:color w:val="0000FF"/>
          <w:szCs w:val="24"/>
          <w:u w:val="single"/>
        </w:rPr>
        <w:t>https://doi.org/10.1108/IJLMA-04-2014-0032</w:t>
      </w:r>
    </w:p>
    <w:p w:rsidR="00DD509A" w:rsidRPr="007370B3" w:rsidRDefault="00DD509A" w:rsidP="007370B3">
      <w:pPr>
        <w:widowControl w:val="0"/>
        <w:autoSpaceDE w:val="0"/>
        <w:autoSpaceDN w:val="0"/>
        <w:adjustRightInd w:val="0"/>
        <w:spacing w:before="120" w:after="120"/>
        <w:ind w:left="425" w:hanging="425"/>
        <w:textAlignment w:val="center"/>
        <w:rPr>
          <w:szCs w:val="24"/>
        </w:rPr>
      </w:pPr>
      <w:r w:rsidRPr="007370B3">
        <w:rPr>
          <w:szCs w:val="24"/>
        </w:rPr>
        <w:t xml:space="preserve">Armour, J., Hertig, G., &amp; Kanda, H. (2009). Transactions with creditors. In Kraakman, R. et al. (Eds.), </w:t>
      </w:r>
      <w:r w:rsidRPr="007370B3">
        <w:rPr>
          <w:i/>
          <w:szCs w:val="24"/>
        </w:rPr>
        <w:t>The Anatomy of Corporate Law: A comparative and functional approach</w:t>
      </w:r>
      <w:r w:rsidRPr="007370B3">
        <w:rPr>
          <w:szCs w:val="24"/>
        </w:rPr>
        <w:t xml:space="preserve"> (pp. 115-151). Oxford University Press.</w:t>
      </w:r>
    </w:p>
    <w:p w:rsidR="00DD509A" w:rsidRPr="007370B3" w:rsidRDefault="00DD509A" w:rsidP="007370B3">
      <w:pPr>
        <w:widowControl w:val="0"/>
        <w:autoSpaceDE w:val="0"/>
        <w:autoSpaceDN w:val="0"/>
        <w:adjustRightInd w:val="0"/>
        <w:spacing w:before="120" w:after="120"/>
        <w:ind w:left="425" w:hanging="425"/>
        <w:textAlignment w:val="center"/>
        <w:rPr>
          <w:szCs w:val="24"/>
        </w:rPr>
      </w:pPr>
      <w:r w:rsidRPr="007370B3">
        <w:rPr>
          <w:szCs w:val="24"/>
        </w:rPr>
        <w:t xml:space="preserve">Ayotte, K. M., &amp; Morrison, E. R. (2009). Creditor control and conflict in Chapter 11. </w:t>
      </w:r>
      <w:r w:rsidRPr="007370B3">
        <w:rPr>
          <w:i/>
          <w:szCs w:val="24"/>
        </w:rPr>
        <w:t>Journal of Legal Analysis, 1</w:t>
      </w:r>
      <w:r w:rsidRPr="007370B3">
        <w:rPr>
          <w:szCs w:val="24"/>
        </w:rPr>
        <w:t xml:space="preserve">(2), 511-551. </w:t>
      </w:r>
      <w:r w:rsidRPr="007370B3">
        <w:rPr>
          <w:color w:val="0000FF"/>
          <w:szCs w:val="24"/>
          <w:u w:val="single"/>
        </w:rPr>
        <w:t>https://doi.org/10.1093/jla/1.2.511</w:t>
      </w:r>
    </w:p>
    <w:p w:rsidR="00DD509A" w:rsidRPr="007370B3" w:rsidRDefault="00DD509A" w:rsidP="007370B3">
      <w:pPr>
        <w:widowControl w:val="0"/>
        <w:autoSpaceDE w:val="0"/>
        <w:autoSpaceDN w:val="0"/>
        <w:adjustRightInd w:val="0"/>
        <w:spacing w:before="120" w:after="120"/>
        <w:ind w:left="425" w:hanging="425"/>
        <w:textAlignment w:val="center"/>
        <w:rPr>
          <w:szCs w:val="24"/>
        </w:rPr>
      </w:pPr>
      <w:r w:rsidRPr="007370B3">
        <w:rPr>
          <w:szCs w:val="24"/>
        </w:rPr>
        <w:t xml:space="preserve">Balcaen, S., &amp; Ooghe, H. (2006). 35 years of studies on business failure: an overview of the classic statistical methodologies and their related problems. </w:t>
      </w:r>
      <w:r w:rsidRPr="007370B3">
        <w:rPr>
          <w:i/>
          <w:szCs w:val="24"/>
        </w:rPr>
        <w:t>The British Accounting Review, 38</w:t>
      </w:r>
      <w:r w:rsidRPr="007370B3">
        <w:rPr>
          <w:szCs w:val="24"/>
        </w:rPr>
        <w:t xml:space="preserve">(1), 63-93. </w:t>
      </w:r>
      <w:r w:rsidRPr="007370B3">
        <w:rPr>
          <w:color w:val="0000FF"/>
          <w:szCs w:val="24"/>
          <w:u w:val="single"/>
        </w:rPr>
        <w:t>https://doi.org/10.1016/j.</w:t>
      </w:r>
      <w:proofErr w:type="gramStart"/>
      <w:r w:rsidRPr="007370B3">
        <w:rPr>
          <w:color w:val="0000FF"/>
          <w:szCs w:val="24"/>
          <w:u w:val="single"/>
        </w:rPr>
        <w:t>bar.2005.09.001</w:t>
      </w:r>
      <w:proofErr w:type="gramEnd"/>
    </w:p>
    <w:p w:rsidR="00DD509A" w:rsidRPr="007370B3" w:rsidRDefault="00DD509A" w:rsidP="007370B3">
      <w:pPr>
        <w:widowControl w:val="0"/>
        <w:autoSpaceDE w:val="0"/>
        <w:autoSpaceDN w:val="0"/>
        <w:adjustRightInd w:val="0"/>
        <w:spacing w:before="120" w:after="120"/>
        <w:ind w:left="425" w:hanging="425"/>
        <w:textAlignment w:val="center"/>
        <w:rPr>
          <w:szCs w:val="24"/>
        </w:rPr>
      </w:pPr>
      <w:r w:rsidRPr="007370B3">
        <w:rPr>
          <w:szCs w:val="24"/>
        </w:rPr>
        <w:t xml:space="preserve">Bokšová, J., &amp; Randáková, M. (2013). Zveřejňují podniky, které procházejí insolvenčním řízením, své účetní závěrky? (Diskuse ke zveřejňování účetních závěrek). </w:t>
      </w:r>
      <w:r w:rsidRPr="007370B3">
        <w:rPr>
          <w:i/>
          <w:szCs w:val="24"/>
        </w:rPr>
        <w:t>Český finanční a účetní časopis, 8</w:t>
      </w:r>
      <w:r w:rsidRPr="007370B3">
        <w:rPr>
          <w:szCs w:val="24"/>
        </w:rPr>
        <w:t>(4), p. 164–171.</w:t>
      </w:r>
    </w:p>
    <w:p w:rsidR="00DD509A" w:rsidRPr="007370B3" w:rsidRDefault="00DD509A" w:rsidP="007370B3">
      <w:pPr>
        <w:widowControl w:val="0"/>
        <w:autoSpaceDE w:val="0"/>
        <w:autoSpaceDN w:val="0"/>
        <w:adjustRightInd w:val="0"/>
        <w:spacing w:before="120" w:after="120"/>
        <w:ind w:left="425" w:hanging="425"/>
        <w:textAlignment w:val="center"/>
        <w:rPr>
          <w:szCs w:val="24"/>
        </w:rPr>
      </w:pPr>
      <w:r w:rsidRPr="007370B3">
        <w:rPr>
          <w:szCs w:val="24"/>
        </w:rPr>
        <w:lastRenderedPageBreak/>
        <w:t xml:space="preserve">Bork, R. (2012). </w:t>
      </w:r>
      <w:r w:rsidRPr="007370B3">
        <w:rPr>
          <w:i/>
          <w:szCs w:val="24"/>
        </w:rPr>
        <w:t>Rescuing companies in England and Germany</w:t>
      </w:r>
      <w:r w:rsidRPr="007370B3">
        <w:rPr>
          <w:szCs w:val="24"/>
        </w:rPr>
        <w:t>. Oxford University Press Oxford.</w:t>
      </w:r>
    </w:p>
    <w:p w:rsidR="00DD509A" w:rsidRPr="007370B3" w:rsidRDefault="00DD509A" w:rsidP="007370B3">
      <w:pPr>
        <w:widowControl w:val="0"/>
        <w:autoSpaceDE w:val="0"/>
        <w:autoSpaceDN w:val="0"/>
        <w:adjustRightInd w:val="0"/>
        <w:spacing w:before="120" w:after="120"/>
        <w:ind w:left="425" w:hanging="425"/>
        <w:textAlignment w:val="center"/>
        <w:rPr>
          <w:color w:val="0000FF"/>
          <w:szCs w:val="24"/>
          <w:u w:val="single"/>
        </w:rPr>
      </w:pPr>
      <w:r w:rsidRPr="007370B3">
        <w:rPr>
          <w:szCs w:val="24"/>
        </w:rPr>
        <w:t xml:space="preserve">Branch, B. (2002). The costs of bankruptcy: A review. </w:t>
      </w:r>
      <w:r w:rsidRPr="007370B3">
        <w:rPr>
          <w:i/>
          <w:szCs w:val="24"/>
        </w:rPr>
        <w:t>International Review of Financial Analysis, 11</w:t>
      </w:r>
      <w:r w:rsidRPr="007370B3">
        <w:rPr>
          <w:szCs w:val="24"/>
        </w:rPr>
        <w:t xml:space="preserve">(1), 39-57. </w:t>
      </w:r>
      <w:r w:rsidRPr="007370B3">
        <w:rPr>
          <w:color w:val="0000FF"/>
          <w:szCs w:val="24"/>
          <w:u w:val="single"/>
        </w:rPr>
        <w:t>https://doi.org/10.1016/S1057-5219(01)00068-0</w:t>
      </w:r>
    </w:p>
    <w:p w:rsidR="00DD509A" w:rsidRPr="007370B3" w:rsidRDefault="00DD509A" w:rsidP="007370B3">
      <w:pPr>
        <w:widowControl w:val="0"/>
        <w:autoSpaceDE w:val="0"/>
        <w:autoSpaceDN w:val="0"/>
        <w:adjustRightInd w:val="0"/>
        <w:spacing w:before="120" w:after="120"/>
        <w:ind w:left="425" w:hanging="425"/>
        <w:textAlignment w:val="center"/>
        <w:rPr>
          <w:szCs w:val="24"/>
        </w:rPr>
      </w:pPr>
      <w:r w:rsidRPr="007370B3">
        <w:rPr>
          <w:szCs w:val="24"/>
        </w:rPr>
        <w:t xml:space="preserve">Campillo, J. P., Serer, G. L., &amp; Ferrer, E. V. (2013). Validez de la información financiera en los procesos de insolvencia. Un estudio de la pequeña empresa española. </w:t>
      </w:r>
      <w:r w:rsidRPr="007370B3">
        <w:rPr>
          <w:i/>
          <w:szCs w:val="24"/>
        </w:rPr>
        <w:t>Cuadernos de Economía y Dirección de la Empresa, 16</w:t>
      </w:r>
      <w:r w:rsidRPr="007370B3">
        <w:rPr>
          <w:szCs w:val="24"/>
        </w:rPr>
        <w:t xml:space="preserve">(1), 29-40. </w:t>
      </w:r>
      <w:r w:rsidRPr="007370B3">
        <w:rPr>
          <w:color w:val="0000FF"/>
          <w:szCs w:val="24"/>
          <w:u w:val="single"/>
        </w:rPr>
        <w:t>https://doi.org/10.1016/j.cede.2012.05.001</w:t>
      </w:r>
    </w:p>
    <w:p w:rsidR="00DD509A" w:rsidRPr="007370B3" w:rsidRDefault="00DD509A" w:rsidP="007370B3">
      <w:pPr>
        <w:widowControl w:val="0"/>
        <w:autoSpaceDE w:val="0"/>
        <w:autoSpaceDN w:val="0"/>
        <w:adjustRightInd w:val="0"/>
        <w:spacing w:before="120" w:after="120"/>
        <w:ind w:left="425" w:hanging="425"/>
        <w:textAlignment w:val="center"/>
        <w:rPr>
          <w:szCs w:val="24"/>
        </w:rPr>
      </w:pPr>
      <w:r w:rsidRPr="007370B3">
        <w:rPr>
          <w:szCs w:val="24"/>
        </w:rPr>
        <w:t xml:space="preserve">Čámská, D. (2016). Accuracy of models predicting corporate bankruptcy in a selected industry branch. </w:t>
      </w:r>
      <w:r w:rsidRPr="007370B3">
        <w:rPr>
          <w:i/>
          <w:szCs w:val="24"/>
        </w:rPr>
        <w:t>Ekonomický časopis, 64</w:t>
      </w:r>
      <w:r w:rsidRPr="007370B3">
        <w:rPr>
          <w:szCs w:val="24"/>
        </w:rPr>
        <w:t>(04), 353-366.</w:t>
      </w:r>
    </w:p>
    <w:p w:rsidR="00DD509A" w:rsidRPr="007370B3" w:rsidRDefault="00DD509A" w:rsidP="007370B3">
      <w:pPr>
        <w:widowControl w:val="0"/>
        <w:autoSpaceDE w:val="0"/>
        <w:autoSpaceDN w:val="0"/>
        <w:adjustRightInd w:val="0"/>
        <w:spacing w:before="120" w:after="120"/>
        <w:ind w:left="425" w:hanging="425"/>
        <w:textAlignment w:val="center"/>
        <w:rPr>
          <w:color w:val="0000FF"/>
          <w:szCs w:val="24"/>
          <w:u w:val="single"/>
        </w:rPr>
      </w:pPr>
      <w:r w:rsidRPr="007370B3">
        <w:rPr>
          <w:szCs w:val="24"/>
        </w:rPr>
        <w:t>Čámská, D. (2015). Impact of the Czech Changing Economic Environment on Bankruptcy Models.</w:t>
      </w:r>
      <w:r w:rsidRPr="007370B3">
        <w:rPr>
          <w:i/>
          <w:iCs/>
          <w:color w:val="222222"/>
          <w:szCs w:val="24"/>
        </w:rPr>
        <w:t xml:space="preserve"> International Advances in Economic Research</w:t>
      </w:r>
      <w:r w:rsidRPr="007370B3">
        <w:rPr>
          <w:color w:val="222222"/>
          <w:szCs w:val="24"/>
        </w:rPr>
        <w:t xml:space="preserve">, </w:t>
      </w:r>
      <w:r w:rsidRPr="007370B3">
        <w:rPr>
          <w:i/>
          <w:iCs/>
          <w:color w:val="222222"/>
          <w:szCs w:val="24"/>
        </w:rPr>
        <w:t>21</w:t>
      </w:r>
      <w:r w:rsidRPr="007370B3">
        <w:rPr>
          <w:color w:val="222222"/>
          <w:szCs w:val="24"/>
        </w:rPr>
        <w:t xml:space="preserve">(1), 117-119. </w:t>
      </w:r>
      <w:r w:rsidRPr="007370B3">
        <w:rPr>
          <w:color w:val="0000FF"/>
          <w:szCs w:val="24"/>
          <w:u w:val="single"/>
        </w:rPr>
        <w:t>https://doi.org/10.1007/s11294-014-9481-0</w:t>
      </w:r>
    </w:p>
    <w:p w:rsidR="00DD509A" w:rsidRPr="007370B3" w:rsidRDefault="00DD509A" w:rsidP="007370B3">
      <w:pPr>
        <w:widowControl w:val="0"/>
        <w:autoSpaceDE w:val="0"/>
        <w:autoSpaceDN w:val="0"/>
        <w:adjustRightInd w:val="0"/>
        <w:spacing w:before="120" w:after="120"/>
        <w:ind w:left="425" w:hanging="425"/>
        <w:textAlignment w:val="center"/>
        <w:rPr>
          <w:szCs w:val="24"/>
        </w:rPr>
      </w:pPr>
      <w:r w:rsidRPr="007370B3">
        <w:rPr>
          <w:szCs w:val="24"/>
        </w:rPr>
        <w:t xml:space="preserve">Čámská, D. (2017). Time Postponents of Classical Corporate Bankruptcy Models. In Löster, T., &amp; Pavelka, T. (Eds.), </w:t>
      </w:r>
      <w:r w:rsidRPr="007370B3">
        <w:rPr>
          <w:i/>
          <w:szCs w:val="24"/>
        </w:rPr>
        <w:t>11th International Days of Statistics and Economics</w:t>
      </w:r>
      <w:r w:rsidRPr="007370B3">
        <w:rPr>
          <w:szCs w:val="24"/>
        </w:rPr>
        <w:t xml:space="preserve"> (pp. 264-272). Slaný, Czech Republic: Melandrium.</w:t>
      </w:r>
    </w:p>
    <w:p w:rsidR="00DD509A" w:rsidRPr="007370B3" w:rsidRDefault="00DD509A" w:rsidP="007370B3">
      <w:pPr>
        <w:widowControl w:val="0"/>
        <w:autoSpaceDE w:val="0"/>
        <w:autoSpaceDN w:val="0"/>
        <w:adjustRightInd w:val="0"/>
        <w:spacing w:before="120" w:after="120"/>
        <w:ind w:left="425" w:hanging="425"/>
        <w:textAlignment w:val="center"/>
        <w:rPr>
          <w:szCs w:val="24"/>
        </w:rPr>
      </w:pPr>
      <w:r w:rsidRPr="007370B3">
        <w:rPr>
          <w:szCs w:val="24"/>
        </w:rPr>
        <w:t xml:space="preserve">Čámská, D. (2013). Základní charakteristiky podniků v insolvenci. In Jedlička, P. (Eds.), </w:t>
      </w:r>
      <w:r w:rsidRPr="007370B3">
        <w:rPr>
          <w:i/>
          <w:szCs w:val="24"/>
        </w:rPr>
        <w:t>Sborník recenzovaných příspěvků z mezinárodní konference Hradecké ekonomické dny</w:t>
      </w:r>
      <w:r w:rsidRPr="007370B3">
        <w:rPr>
          <w:szCs w:val="24"/>
        </w:rPr>
        <w:t xml:space="preserve"> (pp. 83-88). Hradec Králové, Czech Republic: Univerzita Hradec Králové.</w:t>
      </w:r>
    </w:p>
    <w:p w:rsidR="00DD509A" w:rsidRPr="007370B3" w:rsidRDefault="00DD509A" w:rsidP="00DD509A">
      <w:pPr>
        <w:widowControl w:val="0"/>
        <w:autoSpaceDE w:val="0"/>
        <w:autoSpaceDN w:val="0"/>
        <w:adjustRightInd w:val="0"/>
        <w:spacing w:after="40"/>
        <w:ind w:left="425" w:hanging="425"/>
        <w:textAlignment w:val="center"/>
        <w:rPr>
          <w:szCs w:val="24"/>
        </w:rPr>
      </w:pPr>
      <w:r w:rsidRPr="007370B3">
        <w:rPr>
          <w:szCs w:val="24"/>
        </w:rPr>
        <w:t xml:space="preserve">Cepel, M., Stasiukynas, A., Kotaskova, A., &amp; Dvorsky, J. (2018). Business Environment Quality Index in the SME Segment. </w:t>
      </w:r>
      <w:r w:rsidRPr="007370B3">
        <w:rPr>
          <w:i/>
          <w:szCs w:val="24"/>
        </w:rPr>
        <w:t>Journal of Competitiveness, 10</w:t>
      </w:r>
      <w:r w:rsidRPr="007370B3">
        <w:rPr>
          <w:szCs w:val="24"/>
        </w:rPr>
        <w:t xml:space="preserve">(1), 21-40. </w:t>
      </w:r>
      <w:r w:rsidRPr="007370B3">
        <w:rPr>
          <w:color w:val="0000FF"/>
          <w:szCs w:val="24"/>
          <w:u w:val="single"/>
        </w:rPr>
        <w:t>https://doi.org/</w:t>
      </w:r>
      <w:r w:rsidRPr="007370B3">
        <w:rPr>
          <w:color w:val="000000"/>
          <w:szCs w:val="24"/>
        </w:rPr>
        <w:t xml:space="preserve"> </w:t>
      </w:r>
      <w:r w:rsidRPr="007370B3">
        <w:rPr>
          <w:color w:val="0000FF"/>
          <w:szCs w:val="24"/>
          <w:u w:val="single"/>
        </w:rPr>
        <w:t>10.7441/joc.2018.02.02</w:t>
      </w:r>
    </w:p>
    <w:p w:rsidR="00DD509A" w:rsidRPr="007370B3" w:rsidRDefault="00DD509A" w:rsidP="00DD509A">
      <w:pPr>
        <w:widowControl w:val="0"/>
        <w:autoSpaceDE w:val="0"/>
        <w:autoSpaceDN w:val="0"/>
        <w:adjustRightInd w:val="0"/>
        <w:spacing w:after="40"/>
        <w:ind w:left="425" w:hanging="425"/>
        <w:textAlignment w:val="center"/>
        <w:rPr>
          <w:szCs w:val="24"/>
        </w:rPr>
      </w:pPr>
      <w:r w:rsidRPr="007370B3">
        <w:rPr>
          <w:szCs w:val="24"/>
        </w:rPr>
        <w:t>Cihak, M. (2009). Financial Crisis (Introduction). Czech Journal of Economics and Finance, 59(6), 502-506.</w:t>
      </w:r>
    </w:p>
    <w:p w:rsidR="00DD509A" w:rsidRPr="007370B3" w:rsidRDefault="00DD509A" w:rsidP="00DD509A">
      <w:pPr>
        <w:widowControl w:val="0"/>
        <w:autoSpaceDE w:val="0"/>
        <w:autoSpaceDN w:val="0"/>
        <w:adjustRightInd w:val="0"/>
        <w:spacing w:after="40"/>
        <w:ind w:left="425" w:hanging="425"/>
        <w:textAlignment w:val="center"/>
        <w:rPr>
          <w:szCs w:val="24"/>
        </w:rPr>
      </w:pPr>
      <w:r w:rsidRPr="007370B3">
        <w:rPr>
          <w:szCs w:val="24"/>
        </w:rPr>
        <w:t xml:space="preserve">Czech National Bank (2019). </w:t>
      </w:r>
      <w:r w:rsidRPr="007370B3">
        <w:rPr>
          <w:color w:val="000000"/>
          <w:szCs w:val="24"/>
        </w:rPr>
        <w:t xml:space="preserve">Central bank exchange rate fixing. </w:t>
      </w:r>
      <w:r w:rsidRPr="007370B3">
        <w:rPr>
          <w:szCs w:val="24"/>
        </w:rPr>
        <w:t>Retrieved from https://www.cnb.cz/cs/financni-trhy/devizovy-trh/kurzy-devizoveho-trhu/kurzy-devizoveho-trhu/</w:t>
      </w:r>
    </w:p>
    <w:p w:rsidR="00DD509A" w:rsidRPr="007370B3" w:rsidRDefault="00DD509A" w:rsidP="00DD509A">
      <w:pPr>
        <w:widowControl w:val="0"/>
        <w:autoSpaceDE w:val="0"/>
        <w:autoSpaceDN w:val="0"/>
        <w:adjustRightInd w:val="0"/>
        <w:spacing w:after="40"/>
        <w:ind w:left="425" w:hanging="425"/>
        <w:textAlignment w:val="center"/>
        <w:rPr>
          <w:szCs w:val="24"/>
        </w:rPr>
      </w:pPr>
      <w:r w:rsidRPr="007370B3">
        <w:rPr>
          <w:szCs w:val="24"/>
        </w:rPr>
        <w:t xml:space="preserve">Czech Republic (2006). Act No. 182/2006 Coll. </w:t>
      </w:r>
      <w:proofErr w:type="gramStart"/>
      <w:r w:rsidRPr="007370B3">
        <w:rPr>
          <w:szCs w:val="24"/>
        </w:rPr>
        <w:t>on</w:t>
      </w:r>
      <w:proofErr w:type="gramEnd"/>
      <w:r w:rsidRPr="007370B3">
        <w:rPr>
          <w:szCs w:val="24"/>
        </w:rPr>
        <w:t xml:space="preserve"> bankruptcy and settlement. Retrieved from </w:t>
      </w:r>
      <w:r w:rsidRPr="007370B3">
        <w:rPr>
          <w:color w:val="0000FF"/>
          <w:szCs w:val="24"/>
          <w:u w:val="single"/>
        </w:rPr>
        <w:t>https://www.zakonyprolidi.cz/cs/2006-182</w:t>
      </w:r>
    </w:p>
    <w:p w:rsidR="00DD509A" w:rsidRPr="007370B3" w:rsidRDefault="00DD509A" w:rsidP="00DD509A">
      <w:pPr>
        <w:widowControl w:val="0"/>
        <w:autoSpaceDE w:val="0"/>
        <w:autoSpaceDN w:val="0"/>
        <w:adjustRightInd w:val="0"/>
        <w:spacing w:after="40"/>
        <w:ind w:left="425" w:hanging="425"/>
        <w:textAlignment w:val="center"/>
        <w:rPr>
          <w:szCs w:val="24"/>
        </w:rPr>
      </w:pPr>
      <w:r w:rsidRPr="007370B3">
        <w:rPr>
          <w:szCs w:val="24"/>
        </w:rPr>
        <w:t xml:space="preserve">De Laurentis, G., Maino, R., &amp; Molteni, L. (2010). </w:t>
      </w:r>
      <w:r w:rsidRPr="007370B3">
        <w:rPr>
          <w:i/>
          <w:szCs w:val="24"/>
        </w:rPr>
        <w:t>Developing, validating and using internal ratings.</w:t>
      </w:r>
      <w:r w:rsidRPr="007370B3">
        <w:rPr>
          <w:szCs w:val="24"/>
        </w:rPr>
        <w:t xml:space="preserve"> Hoboken, NJ: John Wiley &amp; Sons.</w:t>
      </w:r>
    </w:p>
    <w:p w:rsidR="00DD509A" w:rsidRPr="007370B3" w:rsidRDefault="00DD509A" w:rsidP="00DD509A">
      <w:pPr>
        <w:widowControl w:val="0"/>
        <w:autoSpaceDE w:val="0"/>
        <w:autoSpaceDN w:val="0"/>
        <w:adjustRightInd w:val="0"/>
        <w:spacing w:after="40"/>
        <w:ind w:left="425" w:hanging="425"/>
        <w:textAlignment w:val="center"/>
        <w:rPr>
          <w:color w:val="0000FF"/>
          <w:szCs w:val="24"/>
          <w:u w:val="single"/>
        </w:rPr>
      </w:pPr>
      <w:r w:rsidRPr="007370B3">
        <w:rPr>
          <w:szCs w:val="24"/>
        </w:rPr>
        <w:t xml:space="preserve">De Weijs, R., &amp; Baltjes, M. (2018). Opening the Door for the Opportunistic Use of Interim Financing: A Critical Assessment of the EU Draft Directive on Preventive Restructuring Frameworks. </w:t>
      </w:r>
      <w:r w:rsidRPr="007370B3">
        <w:rPr>
          <w:i/>
          <w:szCs w:val="24"/>
        </w:rPr>
        <w:t>International Insolvency Review, 27</w:t>
      </w:r>
      <w:r w:rsidRPr="007370B3">
        <w:rPr>
          <w:szCs w:val="24"/>
        </w:rPr>
        <w:t xml:space="preserve">(2), 223-254. </w:t>
      </w:r>
      <w:r w:rsidRPr="007370B3">
        <w:rPr>
          <w:color w:val="0000FF"/>
          <w:szCs w:val="24"/>
          <w:u w:val="single"/>
        </w:rPr>
        <w:t>https://doi.org/10.1002/iir.1305</w:t>
      </w:r>
    </w:p>
    <w:p w:rsidR="00DD509A" w:rsidRPr="007370B3" w:rsidRDefault="00DD509A" w:rsidP="00DD509A">
      <w:pPr>
        <w:widowControl w:val="0"/>
        <w:autoSpaceDE w:val="0"/>
        <w:autoSpaceDN w:val="0"/>
        <w:adjustRightInd w:val="0"/>
        <w:spacing w:after="40"/>
        <w:ind w:left="425" w:hanging="425"/>
        <w:textAlignment w:val="center"/>
        <w:rPr>
          <w:szCs w:val="24"/>
        </w:rPr>
      </w:pPr>
      <w:r w:rsidRPr="007370B3">
        <w:rPr>
          <w:szCs w:val="24"/>
        </w:rPr>
        <w:t xml:space="preserve">Dobeš, K., Kot, S.,  Kramoliš, J., &amp; Sopková, G. (2017). The perception of governmental support in the context of competitiveness of SMEs in the Czech Republic. </w:t>
      </w:r>
      <w:r w:rsidRPr="007370B3">
        <w:rPr>
          <w:i/>
          <w:szCs w:val="24"/>
        </w:rPr>
        <w:t>Journal of Competitiveness, 9</w:t>
      </w:r>
      <w:r w:rsidRPr="007370B3">
        <w:rPr>
          <w:szCs w:val="24"/>
        </w:rPr>
        <w:t xml:space="preserve">(3), 34-50. </w:t>
      </w:r>
      <w:r w:rsidRPr="007370B3">
        <w:rPr>
          <w:color w:val="0000FF"/>
          <w:szCs w:val="24"/>
          <w:u w:val="single"/>
        </w:rPr>
        <w:t>https://doi.org/10.7441/joc.2017.03.03</w:t>
      </w:r>
    </w:p>
    <w:p w:rsidR="00DD509A" w:rsidRPr="007370B3" w:rsidRDefault="00DD509A" w:rsidP="00DD509A">
      <w:pPr>
        <w:widowControl w:val="0"/>
        <w:autoSpaceDE w:val="0"/>
        <w:autoSpaceDN w:val="0"/>
        <w:adjustRightInd w:val="0"/>
        <w:spacing w:after="40"/>
        <w:ind w:left="425" w:hanging="425"/>
        <w:textAlignment w:val="center"/>
        <w:rPr>
          <w:color w:val="0000FF"/>
          <w:szCs w:val="24"/>
          <w:u w:val="single"/>
        </w:rPr>
      </w:pPr>
      <w:r w:rsidRPr="007370B3">
        <w:rPr>
          <w:szCs w:val="24"/>
        </w:rPr>
        <w:t xml:space="preserve">Eidenmüller, H. (2017). Contracting for a European insolvency regime. </w:t>
      </w:r>
      <w:r w:rsidRPr="007370B3">
        <w:rPr>
          <w:i/>
          <w:szCs w:val="24"/>
        </w:rPr>
        <w:t>European Business Organization Law Review, 18</w:t>
      </w:r>
      <w:r w:rsidRPr="007370B3">
        <w:rPr>
          <w:szCs w:val="24"/>
        </w:rPr>
        <w:t xml:space="preserve">(2), 273-304. </w:t>
      </w:r>
      <w:r w:rsidRPr="007370B3">
        <w:rPr>
          <w:color w:val="0000FF"/>
          <w:szCs w:val="24"/>
          <w:u w:val="single"/>
        </w:rPr>
        <w:t>https://doi.org/10.1007/s40804-017-0067-1</w:t>
      </w:r>
    </w:p>
    <w:p w:rsidR="00DD509A" w:rsidRPr="007370B3" w:rsidRDefault="00DD509A" w:rsidP="00DD509A">
      <w:pPr>
        <w:widowControl w:val="0"/>
        <w:autoSpaceDE w:val="0"/>
        <w:autoSpaceDN w:val="0"/>
        <w:adjustRightInd w:val="0"/>
        <w:spacing w:after="40"/>
        <w:ind w:left="425" w:hanging="425"/>
        <w:textAlignment w:val="center"/>
        <w:rPr>
          <w:szCs w:val="24"/>
        </w:rPr>
      </w:pPr>
      <w:r w:rsidRPr="007370B3">
        <w:rPr>
          <w:szCs w:val="24"/>
        </w:rPr>
        <w:t xml:space="preserve">Eidenmüller, H., &amp; van Zwieten, K. (2015). Restructuring the European business enterprise: the European Commission’s Recommendation on a new approach to business failure and insolvency. </w:t>
      </w:r>
      <w:r w:rsidRPr="007370B3">
        <w:rPr>
          <w:i/>
          <w:szCs w:val="24"/>
        </w:rPr>
        <w:t>European Business Organization Law Review, 16</w:t>
      </w:r>
      <w:r w:rsidRPr="007370B3">
        <w:rPr>
          <w:szCs w:val="24"/>
        </w:rPr>
        <w:t xml:space="preserve">(4), 625-667. </w:t>
      </w:r>
      <w:r w:rsidRPr="007370B3">
        <w:rPr>
          <w:color w:val="0000FF"/>
          <w:szCs w:val="24"/>
          <w:u w:val="single"/>
        </w:rPr>
        <w:lastRenderedPageBreak/>
        <w:t>https://doi.org/10.1007/s40804-016-0042-2</w:t>
      </w:r>
    </w:p>
    <w:p w:rsidR="00DD509A" w:rsidRPr="007370B3" w:rsidRDefault="00DD509A" w:rsidP="00DD509A">
      <w:pPr>
        <w:widowControl w:val="0"/>
        <w:autoSpaceDE w:val="0"/>
        <w:autoSpaceDN w:val="0"/>
        <w:adjustRightInd w:val="0"/>
        <w:spacing w:after="40"/>
        <w:ind w:left="425" w:hanging="425"/>
        <w:textAlignment w:val="center"/>
        <w:rPr>
          <w:color w:val="0000FF"/>
          <w:szCs w:val="24"/>
          <w:u w:val="single"/>
        </w:rPr>
      </w:pPr>
      <w:r w:rsidRPr="007370B3">
        <w:rPr>
          <w:szCs w:val="24"/>
        </w:rPr>
        <w:t xml:space="preserve">Eklund, J., Levratto, N., &amp; Ramello, G. B. (2018). Entrepreneurship and failure: two sides of the same coin?. </w:t>
      </w:r>
      <w:r w:rsidRPr="007370B3">
        <w:rPr>
          <w:i/>
          <w:szCs w:val="24"/>
        </w:rPr>
        <w:t>Small Business Economics</w:t>
      </w:r>
      <w:r w:rsidRPr="007370B3">
        <w:rPr>
          <w:szCs w:val="24"/>
        </w:rPr>
        <w:t xml:space="preserve">, 1-10. </w:t>
      </w:r>
      <w:r w:rsidRPr="007370B3">
        <w:rPr>
          <w:color w:val="0000FF"/>
          <w:szCs w:val="24"/>
          <w:u w:val="single"/>
        </w:rPr>
        <w:t>https://doi.org/10.1007/s11187-018-0039-z</w:t>
      </w:r>
    </w:p>
    <w:p w:rsidR="00DD509A" w:rsidRPr="007370B3" w:rsidRDefault="00DD509A" w:rsidP="00DD509A">
      <w:pPr>
        <w:widowControl w:val="0"/>
        <w:autoSpaceDE w:val="0"/>
        <w:autoSpaceDN w:val="0"/>
        <w:adjustRightInd w:val="0"/>
        <w:spacing w:after="40"/>
        <w:ind w:left="425" w:hanging="425"/>
        <w:textAlignment w:val="center"/>
        <w:rPr>
          <w:color w:val="0000FF"/>
          <w:szCs w:val="24"/>
          <w:u w:val="single"/>
        </w:rPr>
      </w:pPr>
      <w:r w:rsidRPr="007370B3">
        <w:rPr>
          <w:szCs w:val="24"/>
        </w:rPr>
        <w:t>European Commission</w:t>
      </w:r>
      <w:r w:rsidRPr="007370B3">
        <w:rPr>
          <w:szCs w:val="24"/>
          <w:lang w:val="lt-LT"/>
        </w:rPr>
        <w:t>.</w:t>
      </w:r>
      <w:r w:rsidRPr="007370B3">
        <w:rPr>
          <w:szCs w:val="24"/>
        </w:rPr>
        <w:t xml:space="preserve"> (2016). </w:t>
      </w:r>
      <w:r w:rsidRPr="007370B3">
        <w:rPr>
          <w:i/>
          <w:szCs w:val="24"/>
        </w:rPr>
        <w:t>COMMUNICATION FROM THE COMMISSION TO THE EUROPEAN PARLIAMENT, THE COUNCIL, THE EUROPEAN ECONOMIC AND SOCIAL COMMITTEE AND THE COMMITTEE OF THE REGIONS ENTREPRENEURSHIP 2020 ACTION PLAN Reigniting the entrepreneurial spirit in Europe.</w:t>
      </w:r>
      <w:r w:rsidRPr="007370B3">
        <w:rPr>
          <w:szCs w:val="24"/>
        </w:rPr>
        <w:t xml:space="preserve"> Retrieved from </w:t>
      </w:r>
      <w:r w:rsidRPr="007370B3">
        <w:rPr>
          <w:color w:val="0000FF"/>
          <w:szCs w:val="24"/>
          <w:u w:val="single"/>
        </w:rPr>
        <w:t>https://eur-lex.europa.eu/legal-content/EN/TXT/?uri=CELEX:52012DC0795</w:t>
      </w:r>
    </w:p>
    <w:p w:rsidR="00DD509A" w:rsidRPr="007370B3" w:rsidRDefault="00DD509A" w:rsidP="00DD509A">
      <w:pPr>
        <w:widowControl w:val="0"/>
        <w:autoSpaceDE w:val="0"/>
        <w:autoSpaceDN w:val="0"/>
        <w:adjustRightInd w:val="0"/>
        <w:spacing w:after="40"/>
        <w:ind w:left="425" w:hanging="425"/>
        <w:textAlignment w:val="center"/>
        <w:rPr>
          <w:color w:val="000000"/>
          <w:szCs w:val="24"/>
        </w:rPr>
      </w:pPr>
      <w:r w:rsidRPr="007370B3">
        <w:rPr>
          <w:szCs w:val="24"/>
        </w:rPr>
        <w:t xml:space="preserve">European Parliament, </w:t>
      </w:r>
      <w:r w:rsidRPr="007370B3">
        <w:rPr>
          <w:szCs w:val="24"/>
          <w:lang w:val="en-US"/>
        </w:rPr>
        <w:t>&amp;</w:t>
      </w:r>
      <w:r w:rsidRPr="007370B3">
        <w:rPr>
          <w:szCs w:val="24"/>
        </w:rPr>
        <w:t xml:space="preserve"> Council of the European Union. (2016). </w:t>
      </w:r>
      <w:r w:rsidRPr="007370B3">
        <w:rPr>
          <w:i/>
          <w:szCs w:val="24"/>
        </w:rPr>
        <w:t>Proposal for a DIRECTIVE OF THE EUROPEAN PARLIAMENT AND OF THE COUNCIL on preventive restructuring frameworks, second chance and measures to increase the efficiency of restructuring, insolvency and discharge procedures and amending Directive 2012/30/EU</w:t>
      </w:r>
      <w:r w:rsidRPr="007370B3">
        <w:rPr>
          <w:szCs w:val="24"/>
        </w:rPr>
        <w:t xml:space="preserve">. Retrieved from </w:t>
      </w:r>
      <w:r w:rsidRPr="007370B3">
        <w:rPr>
          <w:color w:val="0000FF"/>
          <w:szCs w:val="24"/>
          <w:u w:val="single"/>
        </w:rPr>
        <w:t>https://eur-lex.europa.eu/legal-content/EN/TXT/?uri=COM:2016:0723:FIN</w:t>
      </w:r>
    </w:p>
    <w:p w:rsidR="00DD509A" w:rsidRPr="007370B3" w:rsidRDefault="00DD509A" w:rsidP="00DD509A">
      <w:pPr>
        <w:widowControl w:val="0"/>
        <w:autoSpaceDE w:val="0"/>
        <w:autoSpaceDN w:val="0"/>
        <w:adjustRightInd w:val="0"/>
        <w:spacing w:after="40"/>
        <w:ind w:left="425" w:hanging="425"/>
        <w:textAlignment w:val="center"/>
        <w:rPr>
          <w:szCs w:val="24"/>
        </w:rPr>
      </w:pPr>
      <w:r w:rsidRPr="007370B3">
        <w:rPr>
          <w:szCs w:val="24"/>
        </w:rPr>
        <w:t xml:space="preserve">Farooq, U., Jibran Qamar, M. A., &amp; Haque, A. (2018). A three-stage dynamic model of financial distress. </w:t>
      </w:r>
      <w:r w:rsidRPr="007370B3">
        <w:rPr>
          <w:i/>
          <w:szCs w:val="24"/>
        </w:rPr>
        <w:t>Managerial Finance, 44</w:t>
      </w:r>
      <w:r w:rsidRPr="007370B3">
        <w:rPr>
          <w:szCs w:val="24"/>
        </w:rPr>
        <w:t xml:space="preserve">(9), 1101-1116. </w:t>
      </w:r>
      <w:r w:rsidRPr="007370B3">
        <w:rPr>
          <w:color w:val="0000FF"/>
          <w:szCs w:val="24"/>
          <w:u w:val="single"/>
        </w:rPr>
        <w:t>https://doi.org/10.1108/MF-07-2017-0244</w:t>
      </w:r>
    </w:p>
    <w:p w:rsidR="00DD509A" w:rsidRPr="007370B3" w:rsidRDefault="00DD509A" w:rsidP="00DD509A">
      <w:pPr>
        <w:widowControl w:val="0"/>
        <w:autoSpaceDE w:val="0"/>
        <w:autoSpaceDN w:val="0"/>
        <w:adjustRightInd w:val="0"/>
        <w:spacing w:after="40"/>
        <w:ind w:left="425" w:hanging="425"/>
        <w:textAlignment w:val="center"/>
        <w:rPr>
          <w:szCs w:val="24"/>
        </w:rPr>
      </w:pPr>
      <w:r w:rsidRPr="007370B3">
        <w:rPr>
          <w:szCs w:val="24"/>
        </w:rPr>
        <w:t>García Lara, J. M., Osma, B. G., &amp; Neophytou, E. (2009). Earnings quality in ex</w:t>
      </w:r>
      <w:r w:rsidRPr="007370B3">
        <w:rPr>
          <w:rFonts w:ascii="Cambria Math" w:hAnsi="Cambria Math" w:cs="Cambria Math"/>
          <w:szCs w:val="24"/>
        </w:rPr>
        <w:t>‐</w:t>
      </w:r>
      <w:r w:rsidRPr="007370B3">
        <w:rPr>
          <w:szCs w:val="24"/>
        </w:rPr>
        <w:t xml:space="preserve">post failed firms. </w:t>
      </w:r>
      <w:r w:rsidRPr="007370B3">
        <w:rPr>
          <w:i/>
          <w:szCs w:val="24"/>
        </w:rPr>
        <w:t>Accounting and business research, 39</w:t>
      </w:r>
      <w:r w:rsidRPr="007370B3">
        <w:rPr>
          <w:szCs w:val="24"/>
        </w:rPr>
        <w:t xml:space="preserve">(2), 119-138. </w:t>
      </w:r>
      <w:r w:rsidRPr="007370B3">
        <w:rPr>
          <w:color w:val="0000FF"/>
          <w:szCs w:val="24"/>
          <w:u w:val="single"/>
        </w:rPr>
        <w:t>https://doi.org/10.1080/00014788.2009.9663353</w:t>
      </w:r>
    </w:p>
    <w:p w:rsidR="00DD509A" w:rsidRPr="007370B3" w:rsidRDefault="00DD509A" w:rsidP="00DD509A">
      <w:pPr>
        <w:widowControl w:val="0"/>
        <w:autoSpaceDE w:val="0"/>
        <w:autoSpaceDN w:val="0"/>
        <w:adjustRightInd w:val="0"/>
        <w:spacing w:after="40"/>
        <w:ind w:left="425" w:hanging="425"/>
        <w:textAlignment w:val="center"/>
        <w:rPr>
          <w:szCs w:val="24"/>
        </w:rPr>
      </w:pPr>
      <w:r w:rsidRPr="007370B3">
        <w:rPr>
          <w:szCs w:val="24"/>
        </w:rPr>
        <w:t xml:space="preserve">Hlaváček, P., Zambochova, M., &amp; Sivicek, T. (2015). The influence of the institutions on entrepreneurship development: Public support and perception of entrepreneurship development in the Czech Republic. </w:t>
      </w:r>
      <w:r w:rsidRPr="007370B3">
        <w:rPr>
          <w:i/>
          <w:szCs w:val="24"/>
        </w:rPr>
        <w:t>Amfiteatru Economic Journal, 17</w:t>
      </w:r>
      <w:r w:rsidRPr="007370B3">
        <w:rPr>
          <w:szCs w:val="24"/>
        </w:rPr>
        <w:t>(38), 408-421.</w:t>
      </w:r>
    </w:p>
    <w:p w:rsidR="00DD509A" w:rsidRPr="007370B3" w:rsidRDefault="00DD509A" w:rsidP="00DD509A">
      <w:pPr>
        <w:widowControl w:val="0"/>
        <w:autoSpaceDE w:val="0"/>
        <w:autoSpaceDN w:val="0"/>
        <w:adjustRightInd w:val="0"/>
        <w:spacing w:after="40"/>
        <w:ind w:left="425" w:hanging="425"/>
        <w:textAlignment w:val="center"/>
        <w:rPr>
          <w:szCs w:val="24"/>
        </w:rPr>
      </w:pPr>
      <w:r w:rsidRPr="007370B3">
        <w:rPr>
          <w:szCs w:val="24"/>
        </w:rPr>
        <w:t xml:space="preserve">Jordan, B. D., Westerfield, R. W., &amp; Ross, S. A. (2011). </w:t>
      </w:r>
      <w:r w:rsidRPr="007370B3">
        <w:rPr>
          <w:i/>
          <w:szCs w:val="24"/>
        </w:rPr>
        <w:t>Corporate finance essentials</w:t>
      </w:r>
      <w:r w:rsidRPr="007370B3">
        <w:rPr>
          <w:szCs w:val="24"/>
        </w:rPr>
        <w:t>. McGraw-Hill Irwin.</w:t>
      </w:r>
    </w:p>
    <w:p w:rsidR="00DD509A" w:rsidRPr="007370B3" w:rsidRDefault="00DD509A" w:rsidP="00DD509A">
      <w:pPr>
        <w:widowControl w:val="0"/>
        <w:autoSpaceDE w:val="0"/>
        <w:autoSpaceDN w:val="0"/>
        <w:adjustRightInd w:val="0"/>
        <w:spacing w:after="40"/>
        <w:ind w:left="425" w:hanging="425"/>
        <w:textAlignment w:val="center"/>
        <w:rPr>
          <w:szCs w:val="24"/>
        </w:rPr>
      </w:pPr>
      <w:r w:rsidRPr="007370B3">
        <w:rPr>
          <w:szCs w:val="24"/>
        </w:rPr>
        <w:t xml:space="preserve">Kapliński, O. (2008). Usefulness and credibility of scoring methods in construction industry. </w:t>
      </w:r>
      <w:r w:rsidRPr="007370B3">
        <w:rPr>
          <w:i/>
          <w:szCs w:val="24"/>
        </w:rPr>
        <w:t>Journal of civil engineering and management, 14</w:t>
      </w:r>
      <w:r w:rsidRPr="007370B3">
        <w:rPr>
          <w:szCs w:val="24"/>
        </w:rPr>
        <w:t>(1), 21-28.</w:t>
      </w:r>
    </w:p>
    <w:p w:rsidR="00DD509A" w:rsidRPr="007370B3" w:rsidRDefault="00DD509A" w:rsidP="00DD509A">
      <w:pPr>
        <w:widowControl w:val="0"/>
        <w:autoSpaceDE w:val="0"/>
        <w:autoSpaceDN w:val="0"/>
        <w:adjustRightInd w:val="0"/>
        <w:spacing w:after="40"/>
        <w:ind w:left="425" w:hanging="425"/>
        <w:textAlignment w:val="center"/>
        <w:rPr>
          <w:szCs w:val="24"/>
        </w:rPr>
      </w:pPr>
      <w:r w:rsidRPr="007370B3">
        <w:rPr>
          <w:szCs w:val="24"/>
        </w:rPr>
        <w:t xml:space="preserve">Karas, M., &amp; Režňáková, M. (2015). The Prediction Capabilities of Bankruptcy Models in a Different Environment: An example of </w:t>
      </w:r>
      <w:proofErr w:type="gramStart"/>
      <w:r w:rsidRPr="007370B3">
        <w:rPr>
          <w:szCs w:val="24"/>
        </w:rPr>
        <w:t>the Altman</w:t>
      </w:r>
      <w:proofErr w:type="gramEnd"/>
      <w:r w:rsidRPr="007370B3">
        <w:rPr>
          <w:szCs w:val="24"/>
        </w:rPr>
        <w:t xml:space="preserve"> Model under the Conditions in the Visegrad Group Countries. </w:t>
      </w:r>
      <w:r w:rsidRPr="007370B3">
        <w:rPr>
          <w:i/>
          <w:szCs w:val="24"/>
        </w:rPr>
        <w:t>Ekonomický časopis, 63</w:t>
      </w:r>
      <w:r w:rsidRPr="007370B3">
        <w:rPr>
          <w:szCs w:val="24"/>
        </w:rPr>
        <w:t xml:space="preserve">(6), 617-633. </w:t>
      </w:r>
      <w:r w:rsidRPr="007370B3">
        <w:rPr>
          <w:color w:val="0000FF"/>
          <w:szCs w:val="24"/>
          <w:u w:val="single"/>
        </w:rPr>
        <w:t>https://doi.org/</w:t>
      </w:r>
    </w:p>
    <w:p w:rsidR="00DD509A" w:rsidRPr="007370B3" w:rsidRDefault="00DD509A" w:rsidP="00DD509A">
      <w:pPr>
        <w:widowControl w:val="0"/>
        <w:autoSpaceDE w:val="0"/>
        <w:autoSpaceDN w:val="0"/>
        <w:adjustRightInd w:val="0"/>
        <w:spacing w:after="40"/>
        <w:ind w:left="425" w:hanging="425"/>
        <w:textAlignment w:val="center"/>
        <w:rPr>
          <w:szCs w:val="24"/>
        </w:rPr>
      </w:pPr>
      <w:r w:rsidRPr="007370B3">
        <w:rPr>
          <w:szCs w:val="24"/>
        </w:rPr>
        <w:t xml:space="preserve">Kislingerová, E., Richter, T., &amp; Smrčka, L. (2013). </w:t>
      </w:r>
      <w:r w:rsidRPr="007370B3">
        <w:rPr>
          <w:i/>
          <w:szCs w:val="24"/>
        </w:rPr>
        <w:t>Insolvenční praxe v České republice: v období 2008-2013</w:t>
      </w:r>
      <w:r w:rsidRPr="007370B3">
        <w:rPr>
          <w:szCs w:val="24"/>
        </w:rPr>
        <w:t xml:space="preserve">. Prague: </w:t>
      </w:r>
      <w:proofErr w:type="gramStart"/>
      <w:r w:rsidRPr="007370B3">
        <w:rPr>
          <w:szCs w:val="24"/>
        </w:rPr>
        <w:t>C.H.</w:t>
      </w:r>
      <w:proofErr w:type="gramEnd"/>
      <w:r w:rsidRPr="007370B3">
        <w:rPr>
          <w:szCs w:val="24"/>
        </w:rPr>
        <w:t xml:space="preserve"> Beck.</w:t>
      </w:r>
    </w:p>
    <w:p w:rsidR="00DD509A" w:rsidRPr="007370B3" w:rsidRDefault="00DD509A" w:rsidP="00DD509A">
      <w:pPr>
        <w:widowControl w:val="0"/>
        <w:autoSpaceDE w:val="0"/>
        <w:autoSpaceDN w:val="0"/>
        <w:adjustRightInd w:val="0"/>
        <w:spacing w:after="40"/>
        <w:ind w:left="425" w:hanging="425"/>
        <w:textAlignment w:val="center"/>
        <w:rPr>
          <w:szCs w:val="24"/>
        </w:rPr>
      </w:pPr>
      <w:r w:rsidRPr="007370B3">
        <w:rPr>
          <w:szCs w:val="24"/>
        </w:rPr>
        <w:t xml:space="preserve">Klečka, J. &amp; Scholleová, H. (2010). Bankruptcy models enunciation for Czech glass making firms. </w:t>
      </w:r>
      <w:r w:rsidRPr="007370B3">
        <w:rPr>
          <w:i/>
          <w:szCs w:val="24"/>
        </w:rPr>
        <w:t>Economics and management, 1</w:t>
      </w:r>
      <w:r w:rsidRPr="007370B3">
        <w:rPr>
          <w:szCs w:val="24"/>
        </w:rPr>
        <w:t xml:space="preserve">5, </w:t>
      </w:r>
      <w:r w:rsidRPr="007370B3">
        <w:rPr>
          <w:color w:val="000000"/>
          <w:szCs w:val="24"/>
        </w:rPr>
        <w:t>954–959.</w:t>
      </w:r>
    </w:p>
    <w:p w:rsidR="00DD509A" w:rsidRPr="007370B3" w:rsidRDefault="00DD509A" w:rsidP="00DD509A">
      <w:pPr>
        <w:widowControl w:val="0"/>
        <w:autoSpaceDE w:val="0"/>
        <w:autoSpaceDN w:val="0"/>
        <w:adjustRightInd w:val="0"/>
        <w:spacing w:after="40"/>
        <w:ind w:left="425" w:hanging="425"/>
        <w:textAlignment w:val="center"/>
        <w:rPr>
          <w:color w:val="0000FF"/>
          <w:szCs w:val="24"/>
          <w:u w:val="single"/>
        </w:rPr>
      </w:pPr>
      <w:r w:rsidRPr="007370B3">
        <w:rPr>
          <w:szCs w:val="24"/>
        </w:rPr>
        <w:t xml:space="preserve">Ključnikov, A., &amp; Popesko, B. (2017). Export and its financing in the SME segment. Case study from Slovakia. </w:t>
      </w:r>
      <w:r w:rsidRPr="007370B3">
        <w:rPr>
          <w:i/>
          <w:szCs w:val="24"/>
        </w:rPr>
        <w:t>Journal of Competitiveness, 9</w:t>
      </w:r>
      <w:r w:rsidRPr="007370B3">
        <w:rPr>
          <w:szCs w:val="24"/>
        </w:rPr>
        <w:t xml:space="preserve">(1), 20-35. </w:t>
      </w:r>
      <w:r w:rsidRPr="007370B3">
        <w:rPr>
          <w:color w:val="0000FF"/>
          <w:szCs w:val="24"/>
          <w:u w:val="single"/>
        </w:rPr>
        <w:t>https://doi.org/10.7441/joc.2017.01.02</w:t>
      </w:r>
    </w:p>
    <w:p w:rsidR="00DD509A" w:rsidRPr="007370B3" w:rsidRDefault="00DD509A" w:rsidP="00DD509A">
      <w:pPr>
        <w:widowControl w:val="0"/>
        <w:autoSpaceDE w:val="0"/>
        <w:autoSpaceDN w:val="0"/>
        <w:adjustRightInd w:val="0"/>
        <w:spacing w:after="40"/>
        <w:ind w:left="425" w:hanging="425"/>
        <w:textAlignment w:val="center"/>
        <w:rPr>
          <w:szCs w:val="24"/>
        </w:rPr>
      </w:pPr>
      <w:r w:rsidRPr="007370B3">
        <w:rPr>
          <w:szCs w:val="24"/>
        </w:rPr>
        <w:t xml:space="preserve">Ključnikov, A., Kozubíková, L., &amp; Sopková, G. (2017). The Payment Discipline of </w:t>
      </w:r>
      <w:proofErr w:type="gramStart"/>
      <w:r w:rsidRPr="007370B3">
        <w:rPr>
          <w:szCs w:val="24"/>
        </w:rPr>
        <w:t>Small</w:t>
      </w:r>
      <w:proofErr w:type="gramEnd"/>
      <w:r w:rsidRPr="007370B3">
        <w:rPr>
          <w:szCs w:val="24"/>
        </w:rPr>
        <w:t xml:space="preserve"> and Medium-sized Enterprises. </w:t>
      </w:r>
      <w:r w:rsidRPr="007370B3">
        <w:rPr>
          <w:i/>
          <w:szCs w:val="24"/>
        </w:rPr>
        <w:t>Journal of Competitiveness, 9</w:t>
      </w:r>
      <w:r w:rsidRPr="007370B3">
        <w:rPr>
          <w:szCs w:val="24"/>
        </w:rPr>
        <w:t>(2), 45–61.</w:t>
      </w:r>
      <w:r w:rsidRPr="007370B3">
        <w:rPr>
          <w:color w:val="FF0000"/>
          <w:szCs w:val="24"/>
        </w:rPr>
        <w:t xml:space="preserve"> </w:t>
      </w:r>
      <w:hyperlink r:id="rId28" w:history="1">
        <w:r w:rsidRPr="007370B3">
          <w:rPr>
            <w:rStyle w:val="Hypertextovodkaz"/>
            <w:szCs w:val="24"/>
          </w:rPr>
          <w:t>https://doi.org//joc.2017.02.04</w:t>
        </w:r>
      </w:hyperlink>
    </w:p>
    <w:p w:rsidR="00DD509A" w:rsidRPr="007370B3" w:rsidRDefault="00DD509A" w:rsidP="00DD509A">
      <w:pPr>
        <w:widowControl w:val="0"/>
        <w:autoSpaceDE w:val="0"/>
        <w:autoSpaceDN w:val="0"/>
        <w:adjustRightInd w:val="0"/>
        <w:spacing w:after="40"/>
        <w:ind w:left="425" w:hanging="425"/>
        <w:textAlignment w:val="center"/>
        <w:rPr>
          <w:szCs w:val="24"/>
        </w:rPr>
      </w:pPr>
      <w:r w:rsidRPr="007370B3">
        <w:rPr>
          <w:szCs w:val="24"/>
        </w:rPr>
        <w:t xml:space="preserve">Lee, S. H., Yamakawa, Y., Peng, M. W., &amp; Barney, J. B. (2011). How do bankruptcy laws affect entrepreneurship development around the world?. </w:t>
      </w:r>
      <w:r w:rsidRPr="007370B3">
        <w:rPr>
          <w:i/>
          <w:szCs w:val="24"/>
        </w:rPr>
        <w:t>Journal of Business Venturing, 26</w:t>
      </w:r>
      <w:r w:rsidRPr="007370B3">
        <w:rPr>
          <w:szCs w:val="24"/>
        </w:rPr>
        <w:t xml:space="preserve">(5), 505-520. </w:t>
      </w:r>
      <w:r w:rsidRPr="007370B3">
        <w:rPr>
          <w:color w:val="0000FF"/>
          <w:szCs w:val="24"/>
          <w:u w:val="single"/>
        </w:rPr>
        <w:t>https://doi.org/10.1016/j.jbusvent.2010.05.001</w:t>
      </w:r>
    </w:p>
    <w:p w:rsidR="00DD509A" w:rsidRPr="007370B3" w:rsidRDefault="00DD509A" w:rsidP="00DD509A">
      <w:pPr>
        <w:widowControl w:val="0"/>
        <w:autoSpaceDE w:val="0"/>
        <w:autoSpaceDN w:val="0"/>
        <w:adjustRightInd w:val="0"/>
        <w:spacing w:after="40"/>
        <w:ind w:left="425" w:hanging="425"/>
        <w:textAlignment w:val="center"/>
        <w:rPr>
          <w:szCs w:val="24"/>
        </w:rPr>
      </w:pPr>
      <w:r w:rsidRPr="007370B3">
        <w:rPr>
          <w:szCs w:val="24"/>
        </w:rPr>
        <w:lastRenderedPageBreak/>
        <w:t xml:space="preserve">Levratto, N. (2013). From failure to corporate bankruptcy: a review. </w:t>
      </w:r>
      <w:r w:rsidRPr="007370B3">
        <w:rPr>
          <w:i/>
          <w:szCs w:val="24"/>
        </w:rPr>
        <w:t>Journal of Innovation and Entrepreneurship, 2</w:t>
      </w:r>
      <w:r w:rsidRPr="007370B3">
        <w:rPr>
          <w:szCs w:val="24"/>
        </w:rPr>
        <w:t xml:space="preserve">(1), 20. </w:t>
      </w:r>
      <w:r w:rsidRPr="007370B3">
        <w:rPr>
          <w:color w:val="0000FF"/>
          <w:szCs w:val="24"/>
          <w:u w:val="single"/>
        </w:rPr>
        <w:t>https://doi.org/10.1186/2192-5372-2-20</w:t>
      </w:r>
    </w:p>
    <w:p w:rsidR="00DD509A" w:rsidRPr="007370B3" w:rsidRDefault="00DD509A" w:rsidP="00DD509A">
      <w:pPr>
        <w:widowControl w:val="0"/>
        <w:autoSpaceDE w:val="0"/>
        <w:autoSpaceDN w:val="0"/>
        <w:adjustRightInd w:val="0"/>
        <w:spacing w:after="40"/>
        <w:ind w:left="425" w:hanging="425"/>
        <w:textAlignment w:val="center"/>
        <w:rPr>
          <w:color w:val="0000FF"/>
          <w:szCs w:val="24"/>
          <w:u w:val="single"/>
        </w:rPr>
      </w:pPr>
      <w:r w:rsidRPr="007370B3">
        <w:rPr>
          <w:szCs w:val="24"/>
        </w:rPr>
        <w:t xml:space="preserve">Malega, J. &amp; Horvath, R. (2017). Financial Stress in the Czech Republic: Measurement and Effects on the Real Economy. </w:t>
      </w:r>
      <w:r w:rsidRPr="007370B3">
        <w:rPr>
          <w:i/>
          <w:szCs w:val="24"/>
        </w:rPr>
        <w:t>Prague Economic Papers, 26</w:t>
      </w:r>
      <w:r w:rsidRPr="007370B3">
        <w:rPr>
          <w:szCs w:val="24"/>
        </w:rPr>
        <w:t xml:space="preserve">(3), 257-268. </w:t>
      </w:r>
      <w:r w:rsidRPr="007370B3">
        <w:rPr>
          <w:color w:val="0000FF"/>
          <w:szCs w:val="24"/>
          <w:u w:val="single"/>
        </w:rPr>
        <w:t>https://doi.org/10.18267/j.pep.608</w:t>
      </w:r>
    </w:p>
    <w:p w:rsidR="00DD509A" w:rsidRPr="007370B3" w:rsidRDefault="00DD509A" w:rsidP="00DD509A">
      <w:pPr>
        <w:widowControl w:val="0"/>
        <w:autoSpaceDE w:val="0"/>
        <w:autoSpaceDN w:val="0"/>
        <w:adjustRightInd w:val="0"/>
        <w:spacing w:after="40"/>
        <w:ind w:left="425" w:hanging="425"/>
        <w:textAlignment w:val="center"/>
        <w:rPr>
          <w:color w:val="0000FF"/>
          <w:szCs w:val="24"/>
          <w:u w:val="single"/>
        </w:rPr>
      </w:pPr>
      <w:r w:rsidRPr="007370B3">
        <w:rPr>
          <w:szCs w:val="24"/>
        </w:rPr>
        <w:t xml:space="preserve">Peng, M. W., Yamakawa, Y., &amp; Lee, S. H. (2010). Bankruptcy Laws and </w:t>
      </w:r>
      <w:proofErr w:type="gramStart"/>
      <w:r w:rsidRPr="007370B3">
        <w:rPr>
          <w:szCs w:val="24"/>
        </w:rPr>
        <w:t>Entrepreneur–Friendliness</w:t>
      </w:r>
      <w:proofErr w:type="gramEnd"/>
      <w:r w:rsidRPr="007370B3">
        <w:rPr>
          <w:szCs w:val="24"/>
        </w:rPr>
        <w:t xml:space="preserve">. </w:t>
      </w:r>
      <w:r w:rsidRPr="007370B3">
        <w:rPr>
          <w:i/>
          <w:szCs w:val="24"/>
        </w:rPr>
        <w:t>Entrepreneurship Theory and Practice, 34</w:t>
      </w:r>
      <w:r w:rsidRPr="007370B3">
        <w:rPr>
          <w:szCs w:val="24"/>
        </w:rPr>
        <w:t xml:space="preserve">(3), 517-530. </w:t>
      </w:r>
      <w:r w:rsidRPr="007370B3">
        <w:rPr>
          <w:color w:val="0000FF"/>
          <w:szCs w:val="24"/>
          <w:u w:val="single"/>
        </w:rPr>
        <w:t>https://doi.org/10.1111/j.1540-</w:t>
      </w:r>
      <w:proofErr w:type="gramStart"/>
      <w:r w:rsidRPr="007370B3">
        <w:rPr>
          <w:color w:val="0000FF"/>
          <w:szCs w:val="24"/>
          <w:u w:val="single"/>
        </w:rPr>
        <w:t>6520.2009.00350.x</w:t>
      </w:r>
      <w:proofErr w:type="gramEnd"/>
    </w:p>
    <w:p w:rsidR="00DD509A" w:rsidRPr="007370B3" w:rsidRDefault="00DD509A" w:rsidP="00DD509A">
      <w:pPr>
        <w:widowControl w:val="0"/>
        <w:autoSpaceDE w:val="0"/>
        <w:autoSpaceDN w:val="0"/>
        <w:adjustRightInd w:val="0"/>
        <w:spacing w:after="40"/>
        <w:ind w:left="425" w:hanging="425"/>
        <w:textAlignment w:val="center"/>
        <w:rPr>
          <w:color w:val="0000FF"/>
          <w:szCs w:val="24"/>
          <w:u w:val="single"/>
        </w:rPr>
      </w:pPr>
      <w:r w:rsidRPr="007370B3">
        <w:rPr>
          <w:szCs w:val="24"/>
        </w:rPr>
        <w:t xml:space="preserve">Smrčka, L., &amp; Čámská, D. (2017). Methods of enforcing receivables and results in the Czech Republic. </w:t>
      </w:r>
      <w:r w:rsidRPr="007370B3">
        <w:rPr>
          <w:i/>
          <w:szCs w:val="24"/>
        </w:rPr>
        <w:t>International Advances in Economic Research, 23</w:t>
      </w:r>
      <w:r w:rsidRPr="007370B3">
        <w:rPr>
          <w:szCs w:val="24"/>
        </w:rPr>
        <w:t xml:space="preserve">(1), 125-126. </w:t>
      </w:r>
      <w:r w:rsidRPr="007370B3">
        <w:rPr>
          <w:color w:val="0000FF"/>
          <w:szCs w:val="24"/>
          <w:u w:val="single"/>
        </w:rPr>
        <w:t>https://doi.org/10.1007/s11294-016-9616-6</w:t>
      </w:r>
    </w:p>
    <w:p w:rsidR="00DD509A" w:rsidRPr="007370B3" w:rsidRDefault="00DD509A" w:rsidP="00DD509A">
      <w:pPr>
        <w:widowControl w:val="0"/>
        <w:autoSpaceDE w:val="0"/>
        <w:autoSpaceDN w:val="0"/>
        <w:adjustRightInd w:val="0"/>
        <w:spacing w:after="40"/>
        <w:ind w:left="425" w:hanging="425"/>
        <w:textAlignment w:val="center"/>
        <w:rPr>
          <w:szCs w:val="24"/>
        </w:rPr>
      </w:pPr>
      <w:r w:rsidRPr="007370B3">
        <w:rPr>
          <w:szCs w:val="24"/>
        </w:rPr>
        <w:t xml:space="preserve">Smrčka, L., Arltová, M., &amp; Schönfeld, J. (2013). Příčiny neúspěchu prosazování sanačních postupů v insolvenční realitě. </w:t>
      </w:r>
      <w:r w:rsidRPr="007370B3">
        <w:rPr>
          <w:i/>
          <w:szCs w:val="24"/>
        </w:rPr>
        <w:t>Politická ekonomie, 61</w:t>
      </w:r>
      <w:r w:rsidRPr="007370B3">
        <w:rPr>
          <w:szCs w:val="24"/>
        </w:rPr>
        <w:t xml:space="preserve">(2), 188-208. </w:t>
      </w:r>
      <w:r w:rsidRPr="007370B3">
        <w:rPr>
          <w:color w:val="0000FF"/>
          <w:szCs w:val="24"/>
          <w:u w:val="single"/>
        </w:rPr>
        <w:t>https://doi.org/10.18267/j.</w:t>
      </w:r>
      <w:proofErr w:type="gramStart"/>
      <w:r w:rsidRPr="007370B3">
        <w:rPr>
          <w:color w:val="0000FF"/>
          <w:szCs w:val="24"/>
          <w:u w:val="single"/>
        </w:rPr>
        <w:t>polek.894</w:t>
      </w:r>
      <w:proofErr w:type="gramEnd"/>
    </w:p>
    <w:p w:rsidR="00DD509A" w:rsidRPr="007370B3" w:rsidRDefault="00DD509A" w:rsidP="00DD509A">
      <w:pPr>
        <w:widowControl w:val="0"/>
        <w:autoSpaceDE w:val="0"/>
        <w:autoSpaceDN w:val="0"/>
        <w:adjustRightInd w:val="0"/>
        <w:spacing w:after="40"/>
        <w:ind w:left="425" w:hanging="425"/>
        <w:textAlignment w:val="center"/>
        <w:rPr>
          <w:color w:val="0000FF"/>
          <w:szCs w:val="24"/>
          <w:u w:val="single"/>
        </w:rPr>
      </w:pPr>
      <w:r w:rsidRPr="007370B3">
        <w:rPr>
          <w:szCs w:val="24"/>
        </w:rPr>
        <w:t xml:space="preserve">Tollenaar, N. (2017). The European Commission's Proposal for a Directive on Preventive Restructuring Proceedings. </w:t>
      </w:r>
      <w:r w:rsidRPr="007370B3">
        <w:rPr>
          <w:i/>
          <w:szCs w:val="24"/>
        </w:rPr>
        <w:t>Insolvency Intelligence, 30</w:t>
      </w:r>
      <w:r w:rsidRPr="007370B3">
        <w:rPr>
          <w:szCs w:val="24"/>
        </w:rPr>
        <w:t xml:space="preserve">(5). </w:t>
      </w:r>
      <w:r w:rsidRPr="007370B3">
        <w:rPr>
          <w:szCs w:val="24"/>
          <w:shd w:val="clear" w:color="auto" w:fill="FFFFFF"/>
        </w:rPr>
        <w:t xml:space="preserve">Retrieved from </w:t>
      </w:r>
      <w:r w:rsidRPr="007370B3">
        <w:rPr>
          <w:color w:val="0000FF"/>
          <w:szCs w:val="24"/>
          <w:u w:val="single"/>
        </w:rPr>
        <w:t>https://ssrn.com/abstract=2978137</w:t>
      </w:r>
    </w:p>
    <w:p w:rsidR="00DD509A" w:rsidRPr="007370B3" w:rsidRDefault="00DD509A" w:rsidP="00DD509A">
      <w:pPr>
        <w:widowControl w:val="0"/>
        <w:autoSpaceDE w:val="0"/>
        <w:autoSpaceDN w:val="0"/>
        <w:adjustRightInd w:val="0"/>
        <w:spacing w:after="40"/>
        <w:ind w:left="425" w:hanging="425"/>
        <w:textAlignment w:val="center"/>
        <w:rPr>
          <w:szCs w:val="24"/>
        </w:rPr>
      </w:pPr>
      <w:r w:rsidRPr="007370B3">
        <w:rPr>
          <w:szCs w:val="24"/>
        </w:rPr>
        <w:t xml:space="preserve">Xie, B. (2016). </w:t>
      </w:r>
      <w:r w:rsidRPr="007370B3">
        <w:rPr>
          <w:i/>
          <w:szCs w:val="24"/>
        </w:rPr>
        <w:t>Comparative Insolvency Law The Pre-pack Approach in Corporate Rescue</w:t>
      </w:r>
      <w:r w:rsidRPr="007370B3">
        <w:rPr>
          <w:szCs w:val="24"/>
        </w:rPr>
        <w:t xml:space="preserve"> (1st ed.). Cheltenham: Edward Elgar Publishing.</w:t>
      </w:r>
    </w:p>
    <w:p w:rsidR="00DD509A" w:rsidRPr="007370B3" w:rsidRDefault="00DD509A" w:rsidP="00DD509A">
      <w:pPr>
        <w:pStyle w:val="11REFERENCES"/>
        <w:rPr>
          <w:color w:val="auto"/>
          <w:sz w:val="24"/>
          <w:szCs w:val="24"/>
        </w:rPr>
      </w:pPr>
    </w:p>
    <w:p w:rsidR="00DD509A" w:rsidRPr="007370B3" w:rsidRDefault="00DD509A" w:rsidP="00DD509A">
      <w:pPr>
        <w:rPr>
          <w:szCs w:val="24"/>
        </w:rPr>
      </w:pPr>
    </w:p>
    <w:p w:rsidR="00DD509A" w:rsidRPr="007370B3" w:rsidRDefault="00DD509A">
      <w:pPr>
        <w:jc w:val="left"/>
        <w:rPr>
          <w:szCs w:val="24"/>
        </w:rPr>
      </w:pPr>
    </w:p>
    <w:p w:rsidR="00DD509A" w:rsidRPr="00EF1564" w:rsidRDefault="00DD509A" w:rsidP="00EF1564">
      <w:pPr>
        <w:rPr>
          <w:szCs w:val="24"/>
        </w:rPr>
      </w:pPr>
    </w:p>
    <w:sectPr w:rsidR="00DD509A" w:rsidRPr="00EF1564" w:rsidSect="001A7291">
      <w:footerReference w:type="default" r:id="rId2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5EE" w:rsidRDefault="00B535EE" w:rsidP="001A7291">
      <w:pPr>
        <w:spacing w:after="0" w:line="240" w:lineRule="auto"/>
      </w:pPr>
      <w:r>
        <w:separator/>
      </w:r>
    </w:p>
  </w:endnote>
  <w:endnote w:type="continuationSeparator" w:id="0">
    <w:p w:rsidR="00B535EE" w:rsidRDefault="00B535EE" w:rsidP="001A7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Cond Light">
    <w:altName w:val="Arial"/>
    <w:charset w:val="00"/>
    <w:family w:val="swiss"/>
    <w:pitch w:val="variable"/>
    <w:sig w:usb0="00000001"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184329"/>
      <w:docPartObj>
        <w:docPartGallery w:val="Page Numbers (Bottom of Page)"/>
        <w:docPartUnique/>
      </w:docPartObj>
    </w:sdtPr>
    <w:sdtContent>
      <w:p w:rsidR="00B535EE" w:rsidRPr="001A7291" w:rsidRDefault="00163A91">
        <w:pPr>
          <w:pStyle w:val="Zpat"/>
          <w:jc w:val="center"/>
        </w:pPr>
        <w:r w:rsidRPr="001A7291">
          <w:fldChar w:fldCharType="begin"/>
        </w:r>
        <w:r w:rsidR="00B535EE" w:rsidRPr="001A7291">
          <w:instrText>PAGE   \* MERGEFORMAT</w:instrText>
        </w:r>
        <w:r w:rsidRPr="001A7291">
          <w:fldChar w:fldCharType="separate"/>
        </w:r>
        <w:r w:rsidR="004F652E">
          <w:rPr>
            <w:noProof/>
          </w:rPr>
          <w:t>20</w:t>
        </w:r>
        <w:r w:rsidRPr="001A7291">
          <w:fldChar w:fldCharType="end"/>
        </w:r>
      </w:p>
    </w:sdtContent>
  </w:sdt>
  <w:p w:rsidR="00B535EE" w:rsidRDefault="00B535E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5EE" w:rsidRDefault="00B535EE" w:rsidP="001A7291">
      <w:pPr>
        <w:spacing w:after="0" w:line="240" w:lineRule="auto"/>
      </w:pPr>
      <w:r>
        <w:separator/>
      </w:r>
    </w:p>
  </w:footnote>
  <w:footnote w:type="continuationSeparator" w:id="0">
    <w:p w:rsidR="00B535EE" w:rsidRDefault="00B535EE" w:rsidP="001A7291">
      <w:pPr>
        <w:spacing w:after="0" w:line="240" w:lineRule="auto"/>
      </w:pPr>
      <w:r>
        <w:continuationSeparator/>
      </w:r>
    </w:p>
  </w:footnote>
  <w:footnote w:id="1">
    <w:p w:rsidR="00B535EE" w:rsidRDefault="00B535EE" w:rsidP="00C60A0B">
      <w:pPr>
        <w:pStyle w:val="Textpoznpodarou"/>
      </w:pPr>
      <w:r>
        <w:rPr>
          <w:rStyle w:val="Znakapoznpodarou"/>
        </w:rPr>
        <w:footnoteRef/>
      </w:r>
      <w:r>
        <w:t xml:space="preserve"> Poměr peněžních prostředků a krátkodobých závazků</w:t>
      </w:r>
    </w:p>
  </w:footnote>
  <w:footnote w:id="2">
    <w:p w:rsidR="00B535EE" w:rsidRPr="003614DB" w:rsidRDefault="00B535EE" w:rsidP="003614DB">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0ECD"/>
    <w:multiLevelType w:val="multilevel"/>
    <w:tmpl w:val="B1849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AB1C85"/>
    <w:multiLevelType w:val="hybridMultilevel"/>
    <w:tmpl w:val="C18A7CE6"/>
    <w:lvl w:ilvl="0" w:tplc="EB8E30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D47AAF"/>
    <w:multiLevelType w:val="hybridMultilevel"/>
    <w:tmpl w:val="D024A1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A5191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264148"/>
    <w:multiLevelType w:val="hybridMultilevel"/>
    <w:tmpl w:val="498A954E"/>
    <w:lvl w:ilvl="0" w:tplc="05807B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3FA65EC"/>
    <w:multiLevelType w:val="multilevel"/>
    <w:tmpl w:val="051A292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5AC7D4F"/>
    <w:multiLevelType w:val="hybridMultilevel"/>
    <w:tmpl w:val="415A8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6517DEF"/>
    <w:multiLevelType w:val="hybridMultilevel"/>
    <w:tmpl w:val="1F242DB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E96053"/>
    <w:multiLevelType w:val="hybridMultilevel"/>
    <w:tmpl w:val="0F9C10F2"/>
    <w:lvl w:ilvl="0" w:tplc="A498EAD2">
      <w:start w:val="1"/>
      <w:numFmt w:val="none"/>
      <w:pStyle w:val="Keywords"/>
      <w:lvlText w:val="Key words:"/>
      <w:lvlJc w:val="left"/>
      <w:pPr>
        <w:tabs>
          <w:tab w:val="num" w:pos="1304"/>
        </w:tabs>
        <w:ind w:left="1304" w:hanging="1304"/>
      </w:pPr>
      <w:rPr>
        <w:rFonts w:ascii="Times New Roman" w:hAnsi="Times New Roman"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3502183"/>
    <w:multiLevelType w:val="hybridMultilevel"/>
    <w:tmpl w:val="91304FE0"/>
    <w:lvl w:ilvl="0" w:tplc="05807B94">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49C70B39"/>
    <w:multiLevelType w:val="hybridMultilevel"/>
    <w:tmpl w:val="8DD24DF6"/>
    <w:lvl w:ilvl="0" w:tplc="05807B94">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4A17230F"/>
    <w:multiLevelType w:val="multilevel"/>
    <w:tmpl w:val="97AC21C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F314CCC"/>
    <w:multiLevelType w:val="singleLevel"/>
    <w:tmpl w:val="5E46F65A"/>
    <w:lvl w:ilvl="0">
      <w:start w:val="1"/>
      <w:numFmt w:val="decimal"/>
      <w:pStyle w:val="Seznamliteratury"/>
      <w:lvlText w:val="[%1]"/>
      <w:lvlJc w:val="left"/>
      <w:pPr>
        <w:tabs>
          <w:tab w:val="num" w:pos="360"/>
        </w:tabs>
        <w:ind w:left="360" w:hanging="360"/>
      </w:pPr>
      <w:rPr>
        <w:rFonts w:hint="default"/>
      </w:rPr>
    </w:lvl>
  </w:abstractNum>
  <w:abstractNum w:abstractNumId="14">
    <w:nsid w:val="502B42EE"/>
    <w:multiLevelType w:val="hybridMultilevel"/>
    <w:tmpl w:val="D6867B92"/>
    <w:lvl w:ilvl="0" w:tplc="05807B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600004"/>
    <w:multiLevelType w:val="multilevel"/>
    <w:tmpl w:val="A16C13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A2730F8"/>
    <w:multiLevelType w:val="hybridMultilevel"/>
    <w:tmpl w:val="BA9A4422"/>
    <w:lvl w:ilvl="0" w:tplc="AE0CAE0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AA91541"/>
    <w:multiLevelType w:val="hybridMultilevel"/>
    <w:tmpl w:val="4914E11A"/>
    <w:lvl w:ilvl="0" w:tplc="05807B94">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6ACA1274"/>
    <w:multiLevelType w:val="hybridMultilevel"/>
    <w:tmpl w:val="4FF24EF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3A25A2E"/>
    <w:multiLevelType w:val="hybridMultilevel"/>
    <w:tmpl w:val="BA2465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4EE1679"/>
    <w:multiLevelType w:val="hybridMultilevel"/>
    <w:tmpl w:val="4900E19A"/>
    <w:lvl w:ilvl="0" w:tplc="A6384A64">
      <w:start w:val="2"/>
      <w:numFmt w:val="bullet"/>
      <w:lvlText w:val="-"/>
      <w:lvlJc w:val="left"/>
      <w:pPr>
        <w:ind w:left="720" w:hanging="360"/>
      </w:pPr>
      <w:rPr>
        <w:rFonts w:ascii="Arial Nova Cond Light" w:eastAsiaTheme="minorHAnsi" w:hAnsi="Arial Nova Cond Ligh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58F4A22"/>
    <w:multiLevelType w:val="hybridMultilevel"/>
    <w:tmpl w:val="991090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A876352"/>
    <w:multiLevelType w:val="hybridMultilevel"/>
    <w:tmpl w:val="247C0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AD57E71"/>
    <w:multiLevelType w:val="hybridMultilevel"/>
    <w:tmpl w:val="1AC0ADB6"/>
    <w:lvl w:ilvl="0" w:tplc="58EA928A">
      <w:start w:val="1"/>
      <w:numFmt w:val="none"/>
      <w:pStyle w:val="JELclassification"/>
      <w:lvlText w:val="JEL classification:"/>
      <w:lvlJc w:val="left"/>
      <w:pPr>
        <w:tabs>
          <w:tab w:val="num" w:pos="2041"/>
        </w:tabs>
        <w:ind w:left="2041" w:hanging="2041"/>
      </w:pPr>
      <w:rPr>
        <w:rFonts w:ascii="Times New Roman" w:hAnsi="Times New Roman" w:hint="default"/>
        <w:b/>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C6F735E"/>
    <w:multiLevelType w:val="multilevel"/>
    <w:tmpl w:val="56AA4CB6"/>
    <w:lvl w:ilvl="0">
      <w:start w:val="1"/>
      <w:numFmt w:val="decimal"/>
      <w:lvlText w:val="%1."/>
      <w:lvlJc w:val="left"/>
      <w:pPr>
        <w:ind w:left="720" w:hanging="360"/>
      </w:pPr>
      <w:rPr>
        <w:rFonts w:hint="default"/>
      </w:rPr>
    </w:lvl>
    <w:lvl w:ilvl="1">
      <w:start w:val="4"/>
      <w:numFmt w:val="decimal"/>
      <w:isLgl/>
      <w:lvlText w:val="%1.%2"/>
      <w:lvlJc w:val="left"/>
      <w:pPr>
        <w:ind w:left="1410" w:hanging="1050"/>
      </w:pPr>
      <w:rPr>
        <w:rFonts w:hint="default"/>
      </w:rPr>
    </w:lvl>
    <w:lvl w:ilvl="2">
      <w:start w:val="10"/>
      <w:numFmt w:val="decimal"/>
      <w:isLgl/>
      <w:lvlText w:val="%1.%2.%3"/>
      <w:lvlJc w:val="left"/>
      <w:pPr>
        <w:ind w:left="1410" w:hanging="1050"/>
      </w:pPr>
      <w:rPr>
        <w:rFonts w:hint="default"/>
      </w:rPr>
    </w:lvl>
    <w:lvl w:ilvl="3">
      <w:start w:val="1"/>
      <w:numFmt w:val="decimal"/>
      <w:isLgl/>
      <w:lvlText w:val="%1.%2.%3.%4"/>
      <w:lvlJc w:val="left"/>
      <w:pPr>
        <w:ind w:left="1410" w:hanging="10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0"/>
  </w:num>
  <w:num w:numId="3">
    <w:abstractNumId w:val="4"/>
  </w:num>
  <w:num w:numId="4">
    <w:abstractNumId w:val="6"/>
  </w:num>
  <w:num w:numId="5">
    <w:abstractNumId w:val="17"/>
  </w:num>
  <w:num w:numId="6">
    <w:abstractNumId w:val="10"/>
  </w:num>
  <w:num w:numId="7">
    <w:abstractNumId w:val="11"/>
  </w:num>
  <w:num w:numId="8">
    <w:abstractNumId w:val="16"/>
  </w:num>
  <w:num w:numId="9">
    <w:abstractNumId w:val="2"/>
  </w:num>
  <w:num w:numId="10">
    <w:abstractNumId w:val="7"/>
  </w:num>
  <w:num w:numId="11">
    <w:abstractNumId w:val="24"/>
  </w:num>
  <w:num w:numId="12">
    <w:abstractNumId w:val="21"/>
  </w:num>
  <w:num w:numId="13">
    <w:abstractNumId w:val="5"/>
  </w:num>
  <w:num w:numId="14">
    <w:abstractNumId w:val="14"/>
  </w:num>
  <w:num w:numId="15">
    <w:abstractNumId w:val="12"/>
  </w:num>
  <w:num w:numId="16">
    <w:abstractNumId w:val="12"/>
  </w:num>
  <w:num w:numId="17">
    <w:abstractNumId w:val="13"/>
  </w:num>
  <w:num w:numId="18">
    <w:abstractNumId w:val="1"/>
  </w:num>
  <w:num w:numId="19">
    <w:abstractNumId w:val="9"/>
  </w:num>
  <w:num w:numId="20">
    <w:abstractNumId w:val="23"/>
  </w:num>
  <w:num w:numId="21">
    <w:abstractNumId w:val="18"/>
  </w:num>
  <w:num w:numId="22">
    <w:abstractNumId w:val="15"/>
  </w:num>
  <w:num w:numId="23">
    <w:abstractNumId w:val="8"/>
  </w:num>
  <w:num w:numId="24">
    <w:abstractNumId w:val="0"/>
  </w:num>
  <w:num w:numId="25">
    <w:abstractNumId w:val="19"/>
  </w:num>
  <w:num w:numId="26">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81301A"/>
    <w:rsid w:val="00004DE7"/>
    <w:rsid w:val="00007103"/>
    <w:rsid w:val="00013000"/>
    <w:rsid w:val="000475D9"/>
    <w:rsid w:val="00056DF0"/>
    <w:rsid w:val="00066684"/>
    <w:rsid w:val="00071E7F"/>
    <w:rsid w:val="00074DC4"/>
    <w:rsid w:val="000C1EA6"/>
    <w:rsid w:val="000E79E9"/>
    <w:rsid w:val="000F5F28"/>
    <w:rsid w:val="001021CC"/>
    <w:rsid w:val="00102909"/>
    <w:rsid w:val="001106E3"/>
    <w:rsid w:val="0013216E"/>
    <w:rsid w:val="00136B14"/>
    <w:rsid w:val="001541AA"/>
    <w:rsid w:val="001545FF"/>
    <w:rsid w:val="00163A91"/>
    <w:rsid w:val="00166BC1"/>
    <w:rsid w:val="00167042"/>
    <w:rsid w:val="0017228C"/>
    <w:rsid w:val="00175718"/>
    <w:rsid w:val="0018195A"/>
    <w:rsid w:val="00181D74"/>
    <w:rsid w:val="00183696"/>
    <w:rsid w:val="00195135"/>
    <w:rsid w:val="0019667E"/>
    <w:rsid w:val="001A7291"/>
    <w:rsid w:val="001D212D"/>
    <w:rsid w:val="001D36F5"/>
    <w:rsid w:val="001F0BD8"/>
    <w:rsid w:val="001F2E2F"/>
    <w:rsid w:val="00207C3D"/>
    <w:rsid w:val="00230208"/>
    <w:rsid w:val="00243C8F"/>
    <w:rsid w:val="00245D79"/>
    <w:rsid w:val="00253F72"/>
    <w:rsid w:val="002703E1"/>
    <w:rsid w:val="00280308"/>
    <w:rsid w:val="00291533"/>
    <w:rsid w:val="00296582"/>
    <w:rsid w:val="002A6372"/>
    <w:rsid w:val="002A64D5"/>
    <w:rsid w:val="002B1159"/>
    <w:rsid w:val="002D50FD"/>
    <w:rsid w:val="002E1A18"/>
    <w:rsid w:val="002E1D55"/>
    <w:rsid w:val="0030752E"/>
    <w:rsid w:val="003162BC"/>
    <w:rsid w:val="00317A9B"/>
    <w:rsid w:val="00335066"/>
    <w:rsid w:val="003418A4"/>
    <w:rsid w:val="0034292F"/>
    <w:rsid w:val="0034767D"/>
    <w:rsid w:val="003614DB"/>
    <w:rsid w:val="0036596F"/>
    <w:rsid w:val="0037729D"/>
    <w:rsid w:val="00377B28"/>
    <w:rsid w:val="00377F45"/>
    <w:rsid w:val="003A3422"/>
    <w:rsid w:val="003A7606"/>
    <w:rsid w:val="003D6730"/>
    <w:rsid w:val="003D6909"/>
    <w:rsid w:val="003F69BD"/>
    <w:rsid w:val="00426997"/>
    <w:rsid w:val="00433DE4"/>
    <w:rsid w:val="004515E5"/>
    <w:rsid w:val="00451E32"/>
    <w:rsid w:val="00461009"/>
    <w:rsid w:val="00461BC6"/>
    <w:rsid w:val="00465925"/>
    <w:rsid w:val="0047642F"/>
    <w:rsid w:val="004844CF"/>
    <w:rsid w:val="00491529"/>
    <w:rsid w:val="004A6A9E"/>
    <w:rsid w:val="004A7EAF"/>
    <w:rsid w:val="004C23E7"/>
    <w:rsid w:val="004C37F5"/>
    <w:rsid w:val="004E523E"/>
    <w:rsid w:val="004F652E"/>
    <w:rsid w:val="00507DF0"/>
    <w:rsid w:val="005235F6"/>
    <w:rsid w:val="00525617"/>
    <w:rsid w:val="005343D3"/>
    <w:rsid w:val="00537574"/>
    <w:rsid w:val="00540D9A"/>
    <w:rsid w:val="00550B00"/>
    <w:rsid w:val="00552AF6"/>
    <w:rsid w:val="0058267B"/>
    <w:rsid w:val="0058574F"/>
    <w:rsid w:val="00590940"/>
    <w:rsid w:val="0059405B"/>
    <w:rsid w:val="005A5A62"/>
    <w:rsid w:val="005B4C0D"/>
    <w:rsid w:val="005D4414"/>
    <w:rsid w:val="005E4198"/>
    <w:rsid w:val="005F3647"/>
    <w:rsid w:val="0060169A"/>
    <w:rsid w:val="00612064"/>
    <w:rsid w:val="00622BCA"/>
    <w:rsid w:val="00627F8C"/>
    <w:rsid w:val="0066209F"/>
    <w:rsid w:val="00665B9D"/>
    <w:rsid w:val="00676E5E"/>
    <w:rsid w:val="006774BB"/>
    <w:rsid w:val="00677FF3"/>
    <w:rsid w:val="006873B7"/>
    <w:rsid w:val="006A291C"/>
    <w:rsid w:val="006B3B62"/>
    <w:rsid w:val="006C2EFF"/>
    <w:rsid w:val="006D6DBA"/>
    <w:rsid w:val="006E153D"/>
    <w:rsid w:val="006E3011"/>
    <w:rsid w:val="006F3646"/>
    <w:rsid w:val="00700F34"/>
    <w:rsid w:val="00706F1F"/>
    <w:rsid w:val="0071331D"/>
    <w:rsid w:val="00713775"/>
    <w:rsid w:val="007370B3"/>
    <w:rsid w:val="00740020"/>
    <w:rsid w:val="007429C4"/>
    <w:rsid w:val="00745C20"/>
    <w:rsid w:val="00770AEC"/>
    <w:rsid w:val="007772C5"/>
    <w:rsid w:val="007914BB"/>
    <w:rsid w:val="007C1EE6"/>
    <w:rsid w:val="007C45E1"/>
    <w:rsid w:val="007E076C"/>
    <w:rsid w:val="007E0D2A"/>
    <w:rsid w:val="007E25AA"/>
    <w:rsid w:val="007E2F99"/>
    <w:rsid w:val="007E7959"/>
    <w:rsid w:val="007F6F5A"/>
    <w:rsid w:val="007F7DA2"/>
    <w:rsid w:val="00807B7F"/>
    <w:rsid w:val="0081301A"/>
    <w:rsid w:val="00813CC4"/>
    <w:rsid w:val="00824B10"/>
    <w:rsid w:val="00830448"/>
    <w:rsid w:val="00843358"/>
    <w:rsid w:val="00843886"/>
    <w:rsid w:val="008440FF"/>
    <w:rsid w:val="00847272"/>
    <w:rsid w:val="008619D2"/>
    <w:rsid w:val="008627BC"/>
    <w:rsid w:val="00862C6F"/>
    <w:rsid w:val="00865D58"/>
    <w:rsid w:val="008947F8"/>
    <w:rsid w:val="008A2862"/>
    <w:rsid w:val="008A4004"/>
    <w:rsid w:val="008E2B2A"/>
    <w:rsid w:val="008E6D75"/>
    <w:rsid w:val="00904EEA"/>
    <w:rsid w:val="009173EA"/>
    <w:rsid w:val="0092584C"/>
    <w:rsid w:val="00943640"/>
    <w:rsid w:val="00950E92"/>
    <w:rsid w:val="009620F8"/>
    <w:rsid w:val="00962586"/>
    <w:rsid w:val="00973E7E"/>
    <w:rsid w:val="009B0A0A"/>
    <w:rsid w:val="009B43E3"/>
    <w:rsid w:val="009E0022"/>
    <w:rsid w:val="009E5978"/>
    <w:rsid w:val="009E7438"/>
    <w:rsid w:val="00A30F0F"/>
    <w:rsid w:val="00A403CD"/>
    <w:rsid w:val="00A453B2"/>
    <w:rsid w:val="00A57506"/>
    <w:rsid w:val="00A707FB"/>
    <w:rsid w:val="00A75BB6"/>
    <w:rsid w:val="00AA02EE"/>
    <w:rsid w:val="00AA7DDB"/>
    <w:rsid w:val="00AD084E"/>
    <w:rsid w:val="00AE5E0B"/>
    <w:rsid w:val="00AF3074"/>
    <w:rsid w:val="00B00981"/>
    <w:rsid w:val="00B137A6"/>
    <w:rsid w:val="00B161D2"/>
    <w:rsid w:val="00B23585"/>
    <w:rsid w:val="00B30527"/>
    <w:rsid w:val="00B329D3"/>
    <w:rsid w:val="00B370E5"/>
    <w:rsid w:val="00B41D5A"/>
    <w:rsid w:val="00B468F9"/>
    <w:rsid w:val="00B46C82"/>
    <w:rsid w:val="00B535EE"/>
    <w:rsid w:val="00B67951"/>
    <w:rsid w:val="00B67E2E"/>
    <w:rsid w:val="00B71C34"/>
    <w:rsid w:val="00B74CAA"/>
    <w:rsid w:val="00B82353"/>
    <w:rsid w:val="00B869A3"/>
    <w:rsid w:val="00B97985"/>
    <w:rsid w:val="00BB17D4"/>
    <w:rsid w:val="00BE4CF9"/>
    <w:rsid w:val="00BF7426"/>
    <w:rsid w:val="00C03EB4"/>
    <w:rsid w:val="00C10B2D"/>
    <w:rsid w:val="00C171E4"/>
    <w:rsid w:val="00C40223"/>
    <w:rsid w:val="00C47748"/>
    <w:rsid w:val="00C60959"/>
    <w:rsid w:val="00C60A0B"/>
    <w:rsid w:val="00C65BE3"/>
    <w:rsid w:val="00C6735B"/>
    <w:rsid w:val="00C75D1E"/>
    <w:rsid w:val="00C77B2F"/>
    <w:rsid w:val="00C84830"/>
    <w:rsid w:val="00C86AF4"/>
    <w:rsid w:val="00C953C8"/>
    <w:rsid w:val="00CB5C00"/>
    <w:rsid w:val="00CC2806"/>
    <w:rsid w:val="00CD5E97"/>
    <w:rsid w:val="00CE2A73"/>
    <w:rsid w:val="00CE6AF5"/>
    <w:rsid w:val="00CF225B"/>
    <w:rsid w:val="00D234F8"/>
    <w:rsid w:val="00D2510A"/>
    <w:rsid w:val="00D5026B"/>
    <w:rsid w:val="00D75F2D"/>
    <w:rsid w:val="00D80DA7"/>
    <w:rsid w:val="00D8617E"/>
    <w:rsid w:val="00DC1D4B"/>
    <w:rsid w:val="00DC39F8"/>
    <w:rsid w:val="00DD0FB1"/>
    <w:rsid w:val="00DD343E"/>
    <w:rsid w:val="00DD3FC4"/>
    <w:rsid w:val="00DD509A"/>
    <w:rsid w:val="00DE2F82"/>
    <w:rsid w:val="00DE5D25"/>
    <w:rsid w:val="00E01698"/>
    <w:rsid w:val="00E07B9F"/>
    <w:rsid w:val="00E222DF"/>
    <w:rsid w:val="00E32B04"/>
    <w:rsid w:val="00E70F74"/>
    <w:rsid w:val="00E75770"/>
    <w:rsid w:val="00E76418"/>
    <w:rsid w:val="00E801C9"/>
    <w:rsid w:val="00E946F2"/>
    <w:rsid w:val="00E97245"/>
    <w:rsid w:val="00EC01BC"/>
    <w:rsid w:val="00EC5AA6"/>
    <w:rsid w:val="00ED115D"/>
    <w:rsid w:val="00ED1D7C"/>
    <w:rsid w:val="00ED297A"/>
    <w:rsid w:val="00EE559B"/>
    <w:rsid w:val="00EF077B"/>
    <w:rsid w:val="00EF1564"/>
    <w:rsid w:val="00F23746"/>
    <w:rsid w:val="00F25673"/>
    <w:rsid w:val="00F44E79"/>
    <w:rsid w:val="00F50AE6"/>
    <w:rsid w:val="00F53B6D"/>
    <w:rsid w:val="00F55EA8"/>
    <w:rsid w:val="00F67C43"/>
    <w:rsid w:val="00F705B0"/>
    <w:rsid w:val="00F84B1B"/>
    <w:rsid w:val="00F90E37"/>
    <w:rsid w:val="00F93571"/>
    <w:rsid w:val="00FC42C9"/>
    <w:rsid w:val="00FF0D08"/>
    <w:rsid w:val="00FF40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5673"/>
    <w:pPr>
      <w:jc w:val="both"/>
    </w:pPr>
    <w:rPr>
      <w:rFonts w:ascii="Times New Roman" w:hAnsi="Times New Roman"/>
      <w:sz w:val="24"/>
    </w:rPr>
  </w:style>
  <w:style w:type="paragraph" w:styleId="Nadpis1">
    <w:name w:val="heading 1"/>
    <w:basedOn w:val="Normln"/>
    <w:next w:val="Normln"/>
    <w:link w:val="Nadpis1Char"/>
    <w:uiPriority w:val="9"/>
    <w:qFormat/>
    <w:rsid w:val="00F25673"/>
    <w:pPr>
      <w:widowControl w:val="0"/>
      <w:autoSpaceDE w:val="0"/>
      <w:autoSpaceDN w:val="0"/>
      <w:adjustRightInd w:val="0"/>
      <w:spacing w:after="0" w:line="240" w:lineRule="auto"/>
      <w:outlineLvl w:val="0"/>
    </w:pPr>
    <w:rPr>
      <w:rFonts w:eastAsiaTheme="minorEastAsia" w:cs="Courier New"/>
      <w:b/>
      <w:bCs/>
      <w:color w:val="000000"/>
      <w:sz w:val="32"/>
      <w:szCs w:val="32"/>
      <w:lang w:eastAsia="cs-CZ"/>
    </w:rPr>
  </w:style>
  <w:style w:type="paragraph" w:styleId="Nadpis2">
    <w:name w:val="heading 2"/>
    <w:basedOn w:val="Normln"/>
    <w:next w:val="Normln"/>
    <w:link w:val="Nadpis2Char"/>
    <w:uiPriority w:val="9"/>
    <w:qFormat/>
    <w:rsid w:val="00F25673"/>
    <w:pPr>
      <w:widowControl w:val="0"/>
      <w:autoSpaceDE w:val="0"/>
      <w:autoSpaceDN w:val="0"/>
      <w:adjustRightInd w:val="0"/>
      <w:spacing w:after="0" w:line="240" w:lineRule="auto"/>
      <w:outlineLvl w:val="1"/>
    </w:pPr>
    <w:rPr>
      <w:rFonts w:eastAsiaTheme="minorEastAsia" w:cs="Courier New"/>
      <w:b/>
      <w:bCs/>
      <w:iCs/>
      <w:color w:val="000000"/>
      <w:sz w:val="28"/>
      <w:szCs w:val="28"/>
      <w:lang w:eastAsia="cs-CZ"/>
    </w:rPr>
  </w:style>
  <w:style w:type="paragraph" w:styleId="Nadpis3">
    <w:name w:val="heading 3"/>
    <w:basedOn w:val="Normln"/>
    <w:next w:val="Normln"/>
    <w:link w:val="Nadpis3Char"/>
    <w:uiPriority w:val="9"/>
    <w:qFormat/>
    <w:rsid w:val="00E32B04"/>
    <w:pPr>
      <w:widowControl w:val="0"/>
      <w:autoSpaceDE w:val="0"/>
      <w:autoSpaceDN w:val="0"/>
      <w:adjustRightInd w:val="0"/>
      <w:spacing w:before="120" w:after="240" w:line="240" w:lineRule="auto"/>
      <w:outlineLvl w:val="2"/>
    </w:pPr>
    <w:rPr>
      <w:rFonts w:eastAsiaTheme="minorEastAsia" w:cs="Times New Roman"/>
      <w:b/>
      <w:bCs/>
      <w:color w:val="000000"/>
      <w:szCs w:val="24"/>
      <w:lang w:eastAsia="cs-CZ"/>
    </w:rPr>
  </w:style>
  <w:style w:type="paragraph" w:styleId="Nadpis4">
    <w:name w:val="heading 4"/>
    <w:basedOn w:val="Normln"/>
    <w:next w:val="Normln"/>
    <w:link w:val="Nadpis4Char"/>
    <w:uiPriority w:val="9"/>
    <w:unhideWhenUsed/>
    <w:qFormat/>
    <w:rsid w:val="004515E5"/>
    <w:pPr>
      <w:keepNext/>
      <w:keepLines/>
      <w:spacing w:before="40" w:after="0"/>
      <w:outlineLvl w:val="3"/>
    </w:pPr>
    <w:rPr>
      <w:rFonts w:eastAsiaTheme="majorEastAsia" w:cstheme="majorBidi"/>
      <w:i/>
      <w:iCs/>
    </w:rPr>
  </w:style>
  <w:style w:type="paragraph" w:styleId="Nadpis5">
    <w:name w:val="heading 5"/>
    <w:basedOn w:val="Normln"/>
    <w:next w:val="Normln"/>
    <w:link w:val="Nadpis5Char"/>
    <w:uiPriority w:val="9"/>
    <w:unhideWhenUsed/>
    <w:qFormat/>
    <w:rsid w:val="00F44E79"/>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C60A0B"/>
    <w:pPr>
      <w:keepNext/>
      <w:keepLines/>
      <w:spacing w:before="200" w:after="0" w:line="360" w:lineRule="auto"/>
      <w:ind w:left="1152" w:hanging="1152"/>
      <w:outlineLvl w:val="5"/>
    </w:pPr>
    <w:rPr>
      <w:rFonts w:eastAsiaTheme="majorEastAsia" w:cstheme="majorBidi"/>
      <w:i/>
      <w:iCs/>
      <w:color w:val="1F3763" w:themeColor="accent1" w:themeShade="7F"/>
    </w:rPr>
  </w:style>
  <w:style w:type="paragraph" w:styleId="Nadpis7">
    <w:name w:val="heading 7"/>
    <w:basedOn w:val="Normln"/>
    <w:next w:val="Normln"/>
    <w:link w:val="Nadpis7Char"/>
    <w:uiPriority w:val="9"/>
    <w:semiHidden/>
    <w:unhideWhenUsed/>
    <w:qFormat/>
    <w:rsid w:val="00C60A0B"/>
    <w:pPr>
      <w:keepNext/>
      <w:keepLines/>
      <w:spacing w:before="200" w:after="0" w:line="360" w:lineRule="auto"/>
      <w:ind w:left="1296" w:hanging="1296"/>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C60A0B"/>
    <w:pPr>
      <w:keepNext/>
      <w:keepLines/>
      <w:spacing w:before="200" w:after="0" w:line="360" w:lineRule="auto"/>
      <w:ind w:left="1440" w:hanging="1440"/>
      <w:outlineLvl w:val="7"/>
    </w:pPr>
    <w:rPr>
      <w:rFonts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60A0B"/>
    <w:pPr>
      <w:keepNext/>
      <w:keepLines/>
      <w:spacing w:before="200" w:after="0" w:line="360" w:lineRule="auto"/>
      <w:ind w:left="1584" w:hanging="1584"/>
      <w:outlineLvl w:val="8"/>
    </w:pPr>
    <w:rPr>
      <w:rFonts w:eastAsiaTheme="majorEastAsia"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5673"/>
    <w:rPr>
      <w:rFonts w:ascii="Times New Roman" w:eastAsiaTheme="minorEastAsia" w:hAnsi="Times New Roman" w:cs="Courier New"/>
      <w:b/>
      <w:bCs/>
      <w:color w:val="000000"/>
      <w:sz w:val="32"/>
      <w:szCs w:val="32"/>
      <w:lang w:eastAsia="cs-CZ"/>
    </w:rPr>
  </w:style>
  <w:style w:type="character" w:customStyle="1" w:styleId="Nadpis2Char">
    <w:name w:val="Nadpis 2 Char"/>
    <w:basedOn w:val="Standardnpsmoodstavce"/>
    <w:link w:val="Nadpis2"/>
    <w:uiPriority w:val="9"/>
    <w:rsid w:val="00F25673"/>
    <w:rPr>
      <w:rFonts w:ascii="Times New Roman" w:eastAsiaTheme="minorEastAsia" w:hAnsi="Times New Roman" w:cs="Courier New"/>
      <w:b/>
      <w:bCs/>
      <w:iCs/>
      <w:color w:val="000000"/>
      <w:sz w:val="28"/>
      <w:szCs w:val="28"/>
      <w:lang w:eastAsia="cs-CZ"/>
    </w:rPr>
  </w:style>
  <w:style w:type="character" w:customStyle="1" w:styleId="Nadpis3Char">
    <w:name w:val="Nadpis 3 Char"/>
    <w:basedOn w:val="Standardnpsmoodstavce"/>
    <w:link w:val="Nadpis3"/>
    <w:uiPriority w:val="9"/>
    <w:rsid w:val="00E32B04"/>
    <w:rPr>
      <w:rFonts w:ascii="Times New Roman" w:eastAsiaTheme="minorEastAsia" w:hAnsi="Times New Roman" w:cs="Times New Roman"/>
      <w:b/>
      <w:bCs/>
      <w:color w:val="000000"/>
      <w:sz w:val="24"/>
      <w:szCs w:val="24"/>
      <w:lang w:eastAsia="cs-CZ"/>
    </w:rPr>
  </w:style>
  <w:style w:type="character" w:customStyle="1" w:styleId="Nadpis4Char">
    <w:name w:val="Nadpis 4 Char"/>
    <w:basedOn w:val="Standardnpsmoodstavce"/>
    <w:link w:val="Nadpis4"/>
    <w:uiPriority w:val="9"/>
    <w:rsid w:val="004515E5"/>
    <w:rPr>
      <w:rFonts w:ascii="Times New Roman" w:eastAsiaTheme="majorEastAsia" w:hAnsi="Times New Roman" w:cstheme="majorBidi"/>
      <w:i/>
      <w:iCs/>
      <w:sz w:val="24"/>
    </w:rPr>
  </w:style>
  <w:style w:type="character" w:customStyle="1" w:styleId="Nadpis5Char">
    <w:name w:val="Nadpis 5 Char"/>
    <w:basedOn w:val="Standardnpsmoodstavce"/>
    <w:link w:val="Nadpis5"/>
    <w:uiPriority w:val="9"/>
    <w:rsid w:val="00F44E79"/>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C60A0B"/>
    <w:rPr>
      <w:rFonts w:ascii="Times New Roman" w:eastAsiaTheme="majorEastAsia" w:hAnsi="Times New Roman" w:cstheme="majorBidi"/>
      <w:i/>
      <w:iCs/>
      <w:color w:val="1F3763" w:themeColor="accent1" w:themeShade="7F"/>
      <w:sz w:val="24"/>
    </w:rPr>
  </w:style>
  <w:style w:type="character" w:customStyle="1" w:styleId="Nadpis7Char">
    <w:name w:val="Nadpis 7 Char"/>
    <w:basedOn w:val="Standardnpsmoodstavce"/>
    <w:link w:val="Nadpis7"/>
    <w:uiPriority w:val="9"/>
    <w:semiHidden/>
    <w:rsid w:val="00C60A0B"/>
    <w:rPr>
      <w:rFonts w:ascii="Times New Roman" w:eastAsiaTheme="majorEastAsia" w:hAnsi="Times New Roman" w:cstheme="majorBidi"/>
      <w:i/>
      <w:iCs/>
      <w:color w:val="404040" w:themeColor="text1" w:themeTint="BF"/>
      <w:sz w:val="24"/>
    </w:rPr>
  </w:style>
  <w:style w:type="character" w:customStyle="1" w:styleId="Nadpis8Char">
    <w:name w:val="Nadpis 8 Char"/>
    <w:basedOn w:val="Standardnpsmoodstavce"/>
    <w:link w:val="Nadpis8"/>
    <w:uiPriority w:val="9"/>
    <w:semiHidden/>
    <w:rsid w:val="00C60A0B"/>
    <w:rPr>
      <w:rFonts w:ascii="Times New Roman" w:eastAsiaTheme="majorEastAsia" w:hAnsi="Times New Roman" w:cstheme="majorBidi"/>
      <w:color w:val="404040" w:themeColor="text1" w:themeTint="BF"/>
      <w:sz w:val="20"/>
      <w:szCs w:val="20"/>
    </w:rPr>
  </w:style>
  <w:style w:type="character" w:customStyle="1" w:styleId="Nadpis9Char">
    <w:name w:val="Nadpis 9 Char"/>
    <w:basedOn w:val="Standardnpsmoodstavce"/>
    <w:link w:val="Nadpis9"/>
    <w:uiPriority w:val="9"/>
    <w:semiHidden/>
    <w:rsid w:val="00C60A0B"/>
    <w:rPr>
      <w:rFonts w:ascii="Times New Roman" w:eastAsiaTheme="majorEastAsia" w:hAnsi="Times New Roman" w:cstheme="majorBidi"/>
      <w:i/>
      <w:iCs/>
      <w:color w:val="404040" w:themeColor="text1" w:themeTint="BF"/>
      <w:sz w:val="20"/>
      <w:szCs w:val="20"/>
    </w:rPr>
  </w:style>
  <w:style w:type="paragraph" w:styleId="Odstavecseseznamem">
    <w:name w:val="List Paragraph"/>
    <w:basedOn w:val="Normln"/>
    <w:uiPriority w:val="34"/>
    <w:qFormat/>
    <w:rsid w:val="0081301A"/>
    <w:pPr>
      <w:ind w:left="720"/>
      <w:contextualSpacing/>
    </w:pPr>
  </w:style>
  <w:style w:type="paragraph" w:styleId="Textbubliny">
    <w:name w:val="Balloon Text"/>
    <w:basedOn w:val="Normln"/>
    <w:link w:val="TextbublinyChar"/>
    <w:uiPriority w:val="99"/>
    <w:semiHidden/>
    <w:unhideWhenUsed/>
    <w:rsid w:val="004610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1009"/>
    <w:rPr>
      <w:rFonts w:ascii="Segoe UI" w:hAnsi="Segoe UI" w:cs="Segoe UI"/>
      <w:sz w:val="18"/>
      <w:szCs w:val="18"/>
    </w:rPr>
  </w:style>
  <w:style w:type="paragraph" w:styleId="Zhlav">
    <w:name w:val="header"/>
    <w:basedOn w:val="Normln"/>
    <w:link w:val="ZhlavChar"/>
    <w:uiPriority w:val="99"/>
    <w:unhideWhenUsed/>
    <w:rsid w:val="001A72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7291"/>
  </w:style>
  <w:style w:type="paragraph" w:styleId="Zpat">
    <w:name w:val="footer"/>
    <w:basedOn w:val="Normln"/>
    <w:link w:val="ZpatChar"/>
    <w:uiPriority w:val="99"/>
    <w:unhideWhenUsed/>
    <w:rsid w:val="001A7291"/>
    <w:pPr>
      <w:tabs>
        <w:tab w:val="center" w:pos="4536"/>
        <w:tab w:val="right" w:pos="9072"/>
      </w:tabs>
      <w:spacing w:after="0" w:line="240" w:lineRule="auto"/>
    </w:pPr>
  </w:style>
  <w:style w:type="character" w:customStyle="1" w:styleId="ZpatChar">
    <w:name w:val="Zápatí Char"/>
    <w:basedOn w:val="Standardnpsmoodstavce"/>
    <w:link w:val="Zpat"/>
    <w:uiPriority w:val="99"/>
    <w:rsid w:val="001A7291"/>
  </w:style>
  <w:style w:type="paragraph" w:styleId="Nzev">
    <w:name w:val="Title"/>
    <w:basedOn w:val="Normln"/>
    <w:next w:val="Normln"/>
    <w:link w:val="NzevChar"/>
    <w:uiPriority w:val="10"/>
    <w:qFormat/>
    <w:rsid w:val="009E00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E0022"/>
    <w:rPr>
      <w:rFonts w:asciiTheme="majorHAnsi" w:eastAsiaTheme="majorEastAsia" w:hAnsiTheme="majorHAnsi" w:cstheme="majorBidi"/>
      <w:spacing w:val="-10"/>
      <w:kern w:val="28"/>
      <w:sz w:val="56"/>
      <w:szCs w:val="56"/>
    </w:rPr>
  </w:style>
  <w:style w:type="paragraph" w:styleId="Bezmezer">
    <w:name w:val="No Spacing"/>
    <w:uiPriority w:val="1"/>
    <w:qFormat/>
    <w:rsid w:val="00166BC1"/>
    <w:pPr>
      <w:spacing w:after="0" w:line="240" w:lineRule="auto"/>
    </w:pPr>
  </w:style>
  <w:style w:type="paragraph" w:customStyle="1" w:styleId="slavtabulce">
    <w:name w:val="Čísla v tabulce"/>
    <w:basedOn w:val="Normln"/>
    <w:link w:val="slavtabulceChar"/>
    <w:qFormat/>
    <w:rsid w:val="00074DC4"/>
    <w:pPr>
      <w:spacing w:after="0" w:line="240" w:lineRule="auto"/>
      <w:jc w:val="center"/>
    </w:pPr>
    <w:rPr>
      <w:rFonts w:ascii="Arial" w:hAnsi="Arial"/>
      <w:sz w:val="18"/>
    </w:rPr>
  </w:style>
  <w:style w:type="character" w:customStyle="1" w:styleId="slavtabulceChar">
    <w:name w:val="Čísla v tabulce Char"/>
    <w:basedOn w:val="Standardnpsmoodstavce"/>
    <w:link w:val="slavtabulce"/>
    <w:rsid w:val="00074DC4"/>
    <w:rPr>
      <w:rFonts w:ascii="Arial" w:hAnsi="Arial"/>
      <w:sz w:val="18"/>
    </w:rPr>
  </w:style>
  <w:style w:type="character" w:styleId="Siln">
    <w:name w:val="Strong"/>
    <w:basedOn w:val="Standardnpsmoodstavce"/>
    <w:uiPriority w:val="22"/>
    <w:qFormat/>
    <w:rsid w:val="00D234F8"/>
    <w:rPr>
      <w:b/>
      <w:bCs/>
    </w:rPr>
  </w:style>
  <w:style w:type="character" w:styleId="Nzevknihy">
    <w:name w:val="Book Title"/>
    <w:basedOn w:val="Standardnpsmoodstavce"/>
    <w:uiPriority w:val="33"/>
    <w:qFormat/>
    <w:rsid w:val="00A403CD"/>
    <w:rPr>
      <w:b/>
      <w:bCs/>
      <w:i/>
      <w:iCs/>
      <w:spacing w:val="5"/>
    </w:rPr>
  </w:style>
  <w:style w:type="paragraph" w:customStyle="1" w:styleId="Styl1">
    <w:name w:val="Styl1"/>
    <w:basedOn w:val="Normln"/>
    <w:link w:val="Styl1Char"/>
    <w:qFormat/>
    <w:rsid w:val="00A453B2"/>
    <w:pPr>
      <w:spacing w:before="120" w:after="240" w:line="240" w:lineRule="auto"/>
    </w:pPr>
    <w:rPr>
      <w:szCs w:val="24"/>
    </w:rPr>
  </w:style>
  <w:style w:type="character" w:customStyle="1" w:styleId="Styl1Char">
    <w:name w:val="Styl1 Char"/>
    <w:basedOn w:val="Standardnpsmoodstavce"/>
    <w:link w:val="Styl1"/>
    <w:rsid w:val="00A453B2"/>
    <w:rPr>
      <w:rFonts w:ascii="Arial Nova Cond Light" w:hAnsi="Arial Nova Cond Light"/>
      <w:sz w:val="24"/>
      <w:szCs w:val="24"/>
    </w:rPr>
  </w:style>
  <w:style w:type="paragraph" w:styleId="Nadpisobsahu">
    <w:name w:val="TOC Heading"/>
    <w:basedOn w:val="Nadpis1"/>
    <w:next w:val="Normln"/>
    <w:uiPriority w:val="39"/>
    <w:unhideWhenUsed/>
    <w:qFormat/>
    <w:rsid w:val="00F25673"/>
    <w:pPr>
      <w:keepNext/>
      <w:keepLines/>
      <w:widowControl/>
      <w:autoSpaceDE/>
      <w:autoSpaceDN/>
      <w:adjustRightInd/>
      <w:spacing w:before="240" w:line="259" w:lineRule="auto"/>
      <w:jc w:val="left"/>
      <w:outlineLvl w:val="9"/>
    </w:pPr>
    <w:rPr>
      <w:rFonts w:asciiTheme="majorHAnsi" w:eastAsiaTheme="majorEastAsia" w:hAnsiTheme="majorHAnsi" w:cstheme="majorBidi"/>
      <w:b w:val="0"/>
      <w:bCs w:val="0"/>
      <w:color w:val="2F5496" w:themeColor="accent1" w:themeShade="BF"/>
    </w:rPr>
  </w:style>
  <w:style w:type="paragraph" w:styleId="Obsah1">
    <w:name w:val="toc 1"/>
    <w:basedOn w:val="Normln"/>
    <w:next w:val="Normln"/>
    <w:autoRedefine/>
    <w:uiPriority w:val="39"/>
    <w:unhideWhenUsed/>
    <w:qFormat/>
    <w:rsid w:val="00F25673"/>
    <w:pPr>
      <w:spacing w:after="100"/>
    </w:pPr>
  </w:style>
  <w:style w:type="paragraph" w:styleId="Obsah2">
    <w:name w:val="toc 2"/>
    <w:basedOn w:val="Normln"/>
    <w:next w:val="Normln"/>
    <w:autoRedefine/>
    <w:uiPriority w:val="39"/>
    <w:unhideWhenUsed/>
    <w:qFormat/>
    <w:rsid w:val="00F25673"/>
    <w:pPr>
      <w:spacing w:after="100"/>
      <w:ind w:left="220"/>
    </w:pPr>
  </w:style>
  <w:style w:type="paragraph" w:styleId="Obsah3">
    <w:name w:val="toc 3"/>
    <w:basedOn w:val="Normln"/>
    <w:next w:val="Normln"/>
    <w:autoRedefine/>
    <w:uiPriority w:val="39"/>
    <w:unhideWhenUsed/>
    <w:qFormat/>
    <w:rsid w:val="00F25673"/>
    <w:pPr>
      <w:spacing w:after="100"/>
      <w:ind w:left="440"/>
    </w:pPr>
  </w:style>
  <w:style w:type="paragraph" w:styleId="Obsah4">
    <w:name w:val="toc 4"/>
    <w:basedOn w:val="Normln"/>
    <w:next w:val="Normln"/>
    <w:autoRedefine/>
    <w:uiPriority w:val="39"/>
    <w:unhideWhenUsed/>
    <w:rsid w:val="00F25673"/>
    <w:pPr>
      <w:spacing w:after="100"/>
      <w:ind w:left="660"/>
      <w:jc w:val="left"/>
    </w:pPr>
    <w:rPr>
      <w:rFonts w:asciiTheme="minorHAnsi" w:eastAsiaTheme="minorEastAsia" w:hAnsiTheme="minorHAnsi"/>
      <w:lang w:eastAsia="cs-CZ"/>
    </w:rPr>
  </w:style>
  <w:style w:type="paragraph" w:styleId="Obsah5">
    <w:name w:val="toc 5"/>
    <w:basedOn w:val="Normln"/>
    <w:next w:val="Normln"/>
    <w:autoRedefine/>
    <w:uiPriority w:val="39"/>
    <w:unhideWhenUsed/>
    <w:rsid w:val="00F25673"/>
    <w:pPr>
      <w:spacing w:after="100"/>
      <w:ind w:left="880"/>
      <w:jc w:val="left"/>
    </w:pPr>
    <w:rPr>
      <w:rFonts w:asciiTheme="minorHAnsi" w:eastAsiaTheme="minorEastAsia" w:hAnsiTheme="minorHAnsi"/>
      <w:lang w:eastAsia="cs-CZ"/>
    </w:rPr>
  </w:style>
  <w:style w:type="paragraph" w:styleId="Obsah6">
    <w:name w:val="toc 6"/>
    <w:basedOn w:val="Normln"/>
    <w:next w:val="Normln"/>
    <w:autoRedefine/>
    <w:uiPriority w:val="39"/>
    <w:unhideWhenUsed/>
    <w:rsid w:val="00F25673"/>
    <w:pPr>
      <w:spacing w:after="100"/>
      <w:ind w:left="1100"/>
      <w:jc w:val="left"/>
    </w:pPr>
    <w:rPr>
      <w:rFonts w:asciiTheme="minorHAnsi" w:eastAsiaTheme="minorEastAsia" w:hAnsiTheme="minorHAnsi"/>
      <w:lang w:eastAsia="cs-CZ"/>
    </w:rPr>
  </w:style>
  <w:style w:type="paragraph" w:styleId="Obsah7">
    <w:name w:val="toc 7"/>
    <w:basedOn w:val="Normln"/>
    <w:next w:val="Normln"/>
    <w:autoRedefine/>
    <w:uiPriority w:val="39"/>
    <w:unhideWhenUsed/>
    <w:rsid w:val="00F25673"/>
    <w:pPr>
      <w:spacing w:after="100"/>
      <w:ind w:left="1320"/>
      <w:jc w:val="left"/>
    </w:pPr>
    <w:rPr>
      <w:rFonts w:asciiTheme="minorHAnsi" w:eastAsiaTheme="minorEastAsia" w:hAnsiTheme="minorHAnsi"/>
      <w:lang w:eastAsia="cs-CZ"/>
    </w:rPr>
  </w:style>
  <w:style w:type="paragraph" w:styleId="Obsah8">
    <w:name w:val="toc 8"/>
    <w:basedOn w:val="Normln"/>
    <w:next w:val="Normln"/>
    <w:autoRedefine/>
    <w:uiPriority w:val="39"/>
    <w:unhideWhenUsed/>
    <w:rsid w:val="00F25673"/>
    <w:pPr>
      <w:spacing w:after="100"/>
      <w:ind w:left="1540"/>
      <w:jc w:val="left"/>
    </w:pPr>
    <w:rPr>
      <w:rFonts w:asciiTheme="minorHAnsi" w:eastAsiaTheme="minorEastAsia" w:hAnsiTheme="minorHAnsi"/>
      <w:lang w:eastAsia="cs-CZ"/>
    </w:rPr>
  </w:style>
  <w:style w:type="paragraph" w:styleId="Obsah9">
    <w:name w:val="toc 9"/>
    <w:basedOn w:val="Normln"/>
    <w:next w:val="Normln"/>
    <w:autoRedefine/>
    <w:uiPriority w:val="39"/>
    <w:unhideWhenUsed/>
    <w:rsid w:val="00F25673"/>
    <w:pPr>
      <w:spacing w:after="100"/>
      <w:ind w:left="1760"/>
      <w:jc w:val="left"/>
    </w:pPr>
    <w:rPr>
      <w:rFonts w:asciiTheme="minorHAnsi" w:eastAsiaTheme="minorEastAsia" w:hAnsiTheme="minorHAnsi"/>
      <w:lang w:eastAsia="cs-CZ"/>
    </w:rPr>
  </w:style>
  <w:style w:type="character" w:styleId="Hypertextovodkaz">
    <w:name w:val="Hyperlink"/>
    <w:basedOn w:val="Standardnpsmoodstavce"/>
    <w:uiPriority w:val="99"/>
    <w:unhideWhenUsed/>
    <w:rsid w:val="00F25673"/>
    <w:rPr>
      <w:color w:val="0563C1" w:themeColor="hyperlink"/>
      <w:u w:val="single"/>
    </w:rPr>
  </w:style>
  <w:style w:type="paragraph" w:styleId="Titulek">
    <w:name w:val="caption"/>
    <w:basedOn w:val="Normln"/>
    <w:next w:val="Normln"/>
    <w:uiPriority w:val="35"/>
    <w:unhideWhenUsed/>
    <w:qFormat/>
    <w:rsid w:val="00B67E2E"/>
    <w:pPr>
      <w:spacing w:after="200" w:line="240" w:lineRule="auto"/>
    </w:pPr>
    <w:rPr>
      <w:i/>
      <w:iCs/>
      <w:color w:val="44546A" w:themeColor="text2"/>
      <w:sz w:val="18"/>
      <w:szCs w:val="18"/>
    </w:rPr>
  </w:style>
  <w:style w:type="paragraph" w:styleId="Seznamobrzk">
    <w:name w:val="table of figures"/>
    <w:basedOn w:val="Normln"/>
    <w:next w:val="Normln"/>
    <w:uiPriority w:val="99"/>
    <w:unhideWhenUsed/>
    <w:rsid w:val="007772C5"/>
    <w:pPr>
      <w:spacing w:after="0"/>
    </w:pPr>
  </w:style>
  <w:style w:type="paragraph" w:styleId="Normlnweb">
    <w:name w:val="Normal (Web)"/>
    <w:basedOn w:val="Normln"/>
    <w:uiPriority w:val="99"/>
    <w:semiHidden/>
    <w:unhideWhenUsed/>
    <w:rsid w:val="00AF3074"/>
    <w:pPr>
      <w:spacing w:before="100" w:beforeAutospacing="1" w:after="100" w:afterAutospacing="1" w:line="240" w:lineRule="auto"/>
      <w:jc w:val="left"/>
    </w:pPr>
    <w:rPr>
      <w:rFonts w:eastAsia="Times New Roman" w:cs="Times New Roman"/>
      <w:szCs w:val="24"/>
      <w:lang w:eastAsia="cs-CZ"/>
    </w:rPr>
  </w:style>
  <w:style w:type="paragraph" w:styleId="Textpoznpodarou">
    <w:name w:val="footnote text"/>
    <w:basedOn w:val="Normln"/>
    <w:link w:val="TextpoznpodarouChar"/>
    <w:uiPriority w:val="99"/>
    <w:unhideWhenUsed/>
    <w:rsid w:val="00DC39F8"/>
    <w:pPr>
      <w:spacing w:after="0" w:line="240" w:lineRule="auto"/>
      <w:ind w:firstLine="567"/>
    </w:pPr>
    <w:rPr>
      <w:rFonts w:ascii="Constantia" w:eastAsia="Calibri" w:hAnsi="Constantia" w:cs="Times New Roman"/>
      <w:sz w:val="20"/>
      <w:szCs w:val="20"/>
    </w:rPr>
  </w:style>
  <w:style w:type="character" w:customStyle="1" w:styleId="TextpoznpodarouChar">
    <w:name w:val="Text pozn. pod čarou Char"/>
    <w:basedOn w:val="Standardnpsmoodstavce"/>
    <w:link w:val="Textpoznpodarou"/>
    <w:uiPriority w:val="99"/>
    <w:rsid w:val="00DC39F8"/>
    <w:rPr>
      <w:rFonts w:ascii="Constantia" w:eastAsia="Calibri" w:hAnsi="Constantia" w:cs="Times New Roman"/>
      <w:sz w:val="20"/>
      <w:szCs w:val="20"/>
    </w:rPr>
  </w:style>
  <w:style w:type="character" w:styleId="Znakapoznpodarou">
    <w:name w:val="footnote reference"/>
    <w:basedOn w:val="Standardnpsmoodstavce"/>
    <w:uiPriority w:val="99"/>
    <w:unhideWhenUsed/>
    <w:rsid w:val="00DC39F8"/>
    <w:rPr>
      <w:vertAlign w:val="superscript"/>
    </w:rPr>
  </w:style>
  <w:style w:type="paragraph" w:styleId="Podtitul">
    <w:name w:val="Subtitle"/>
    <w:basedOn w:val="Normln"/>
    <w:next w:val="Normln"/>
    <w:link w:val="PodtitulChar"/>
    <w:uiPriority w:val="11"/>
    <w:qFormat/>
    <w:rsid w:val="00C60A0B"/>
    <w:pPr>
      <w:numPr>
        <w:ilvl w:val="1"/>
      </w:numPr>
      <w:pBdr>
        <w:top w:val="single" w:sz="4" w:space="1" w:color="auto"/>
        <w:bottom w:val="single" w:sz="4" w:space="1" w:color="auto"/>
      </w:pBdr>
      <w:spacing w:before="200" w:after="200" w:line="360" w:lineRule="auto"/>
    </w:pPr>
    <w:rPr>
      <w:rFonts w:eastAsiaTheme="majorEastAsia" w:cstheme="majorBidi"/>
      <w:iCs/>
      <w:color w:val="000000" w:themeColor="text1"/>
      <w:szCs w:val="24"/>
    </w:rPr>
  </w:style>
  <w:style w:type="character" w:customStyle="1" w:styleId="PodtitulChar">
    <w:name w:val="Podtitul Char"/>
    <w:basedOn w:val="Standardnpsmoodstavce"/>
    <w:link w:val="Podtitul"/>
    <w:uiPriority w:val="11"/>
    <w:rsid w:val="00C60A0B"/>
    <w:rPr>
      <w:rFonts w:ascii="Times New Roman" w:eastAsiaTheme="majorEastAsia" w:hAnsi="Times New Roman" w:cstheme="majorBidi"/>
      <w:iCs/>
      <w:color w:val="000000" w:themeColor="text1"/>
      <w:sz w:val="24"/>
      <w:szCs w:val="24"/>
    </w:rPr>
  </w:style>
  <w:style w:type="paragraph" w:customStyle="1" w:styleId="calibre1">
    <w:name w:val="calibre1"/>
    <w:basedOn w:val="Normln"/>
    <w:rsid w:val="00C60A0B"/>
    <w:pPr>
      <w:spacing w:before="100" w:beforeAutospacing="1" w:after="100" w:afterAutospacing="1" w:line="240" w:lineRule="auto"/>
      <w:jc w:val="left"/>
    </w:pPr>
    <w:rPr>
      <w:rFonts w:eastAsia="Times New Roman" w:cs="Times New Roman"/>
      <w:szCs w:val="24"/>
      <w:lang w:eastAsia="cs-CZ"/>
    </w:rPr>
  </w:style>
  <w:style w:type="paragraph" w:customStyle="1" w:styleId="Seznamliteratury">
    <w:name w:val="Seznam literatury"/>
    <w:basedOn w:val="Normln"/>
    <w:link w:val="SeznamliteraturyChar"/>
    <w:rsid w:val="00C60A0B"/>
    <w:pPr>
      <w:numPr>
        <w:numId w:val="17"/>
      </w:numPr>
      <w:spacing w:before="60" w:after="60" w:line="240" w:lineRule="auto"/>
    </w:pPr>
    <w:rPr>
      <w:rFonts w:eastAsia="Times New Roman" w:cs="Times New Roman"/>
      <w:szCs w:val="20"/>
    </w:rPr>
  </w:style>
  <w:style w:type="character" w:customStyle="1" w:styleId="SeznamliteraturyChar">
    <w:name w:val="Seznam literatury Char"/>
    <w:link w:val="Seznamliteratury"/>
    <w:rsid w:val="00C60A0B"/>
    <w:rPr>
      <w:rFonts w:ascii="Times New Roman" w:eastAsia="Times New Roman" w:hAnsi="Times New Roman" w:cs="Times New Roman"/>
      <w:sz w:val="24"/>
      <w:szCs w:val="20"/>
    </w:rPr>
  </w:style>
  <w:style w:type="character" w:styleId="Zvraznn">
    <w:name w:val="Emphasis"/>
    <w:basedOn w:val="Standardnpsmoodstavce"/>
    <w:uiPriority w:val="20"/>
    <w:qFormat/>
    <w:rsid w:val="00C60A0B"/>
    <w:rPr>
      <w:i/>
      <w:iCs/>
    </w:rPr>
  </w:style>
  <w:style w:type="character" w:customStyle="1" w:styleId="apple-style-span">
    <w:name w:val="apple-style-span"/>
    <w:basedOn w:val="Standardnpsmoodstavce"/>
    <w:rsid w:val="00C60A0B"/>
  </w:style>
  <w:style w:type="character" w:customStyle="1" w:styleId="apple-converted-space">
    <w:name w:val="apple-converted-space"/>
    <w:basedOn w:val="Standardnpsmoodstavce"/>
    <w:rsid w:val="00C60A0B"/>
  </w:style>
  <w:style w:type="character" w:customStyle="1" w:styleId="st1">
    <w:name w:val="st1"/>
    <w:basedOn w:val="Standardnpsmoodstavce"/>
    <w:rsid w:val="00C60A0B"/>
  </w:style>
  <w:style w:type="paragraph" w:customStyle="1" w:styleId="part-odstavec">
    <w:name w:val="part-odstavec"/>
    <w:basedOn w:val="Normln"/>
    <w:rsid w:val="00C60A0B"/>
    <w:pPr>
      <w:spacing w:before="100" w:beforeAutospacing="1" w:after="100" w:afterAutospacing="1" w:line="240" w:lineRule="auto"/>
      <w:jc w:val="left"/>
    </w:pPr>
    <w:rPr>
      <w:rFonts w:eastAsia="Times New Roman" w:cs="Times New Roman"/>
      <w:szCs w:val="24"/>
      <w:lang w:eastAsia="cs-CZ"/>
    </w:rPr>
  </w:style>
  <w:style w:type="character" w:customStyle="1" w:styleId="TextvysvtlivekChar">
    <w:name w:val="Text vysvětlivek Char"/>
    <w:basedOn w:val="Standardnpsmoodstavce"/>
    <w:link w:val="Textvysvtlivek"/>
    <w:uiPriority w:val="99"/>
    <w:semiHidden/>
    <w:rsid w:val="00C60A0B"/>
    <w:rPr>
      <w:rFonts w:ascii="Times New Roman" w:eastAsia="MS Mincho" w:hAnsi="Times New Roman"/>
      <w:sz w:val="20"/>
      <w:szCs w:val="20"/>
    </w:rPr>
  </w:style>
  <w:style w:type="paragraph" w:styleId="Textvysvtlivek">
    <w:name w:val="endnote text"/>
    <w:basedOn w:val="Normln"/>
    <w:link w:val="TextvysvtlivekChar"/>
    <w:uiPriority w:val="99"/>
    <w:semiHidden/>
    <w:unhideWhenUsed/>
    <w:rsid w:val="00C60A0B"/>
    <w:pPr>
      <w:spacing w:after="0" w:line="240" w:lineRule="auto"/>
    </w:pPr>
    <w:rPr>
      <w:rFonts w:eastAsia="MS Mincho"/>
      <w:sz w:val="20"/>
      <w:szCs w:val="20"/>
    </w:rPr>
  </w:style>
  <w:style w:type="paragraph" w:customStyle="1" w:styleId="Textodstavce">
    <w:name w:val="Text odstavce"/>
    <w:basedOn w:val="Normln"/>
    <w:rsid w:val="00C60A0B"/>
    <w:pPr>
      <w:spacing w:before="120" w:after="120" w:line="360" w:lineRule="auto"/>
      <w:ind w:firstLine="357"/>
    </w:pPr>
    <w:rPr>
      <w:rFonts w:eastAsia="Times New Roman" w:cs="Times New Roman"/>
      <w:szCs w:val="20"/>
      <w:lang w:eastAsia="cs-CZ"/>
    </w:rPr>
  </w:style>
  <w:style w:type="paragraph" w:customStyle="1" w:styleId="Keywords">
    <w:name w:val="Key words"/>
    <w:basedOn w:val="Normln"/>
    <w:rsid w:val="00C60A0B"/>
    <w:pPr>
      <w:numPr>
        <w:numId w:val="19"/>
      </w:numPr>
      <w:spacing w:before="120" w:after="120" w:line="360" w:lineRule="auto"/>
    </w:pPr>
    <w:rPr>
      <w:rFonts w:eastAsia="Times New Roman" w:cs="Times New Roman"/>
      <w:szCs w:val="24"/>
      <w:lang w:val="en-US" w:eastAsia="cs-CZ"/>
    </w:rPr>
  </w:style>
  <w:style w:type="paragraph" w:customStyle="1" w:styleId="JELclassification">
    <w:name w:val="JEL classification"/>
    <w:basedOn w:val="Normln"/>
    <w:rsid w:val="00C60A0B"/>
    <w:pPr>
      <w:numPr>
        <w:numId w:val="20"/>
      </w:numPr>
      <w:spacing w:before="120" w:after="0" w:line="360" w:lineRule="auto"/>
    </w:pPr>
    <w:rPr>
      <w:rFonts w:eastAsia="Times New Roman" w:cs="Times New Roman"/>
      <w:szCs w:val="24"/>
      <w:lang w:val="en-US" w:eastAsia="cs-CZ"/>
    </w:rPr>
  </w:style>
  <w:style w:type="character" w:customStyle="1" w:styleId="TextkomenteChar">
    <w:name w:val="Text komentáře Char"/>
    <w:basedOn w:val="Standardnpsmoodstavce"/>
    <w:link w:val="Textkomente"/>
    <w:uiPriority w:val="99"/>
    <w:semiHidden/>
    <w:rsid w:val="00C60A0B"/>
    <w:rPr>
      <w:rFonts w:ascii="Times New Roman" w:eastAsia="MS Mincho" w:hAnsi="Times New Roman"/>
      <w:sz w:val="20"/>
      <w:szCs w:val="20"/>
    </w:rPr>
  </w:style>
  <w:style w:type="paragraph" w:styleId="Textkomente">
    <w:name w:val="annotation text"/>
    <w:basedOn w:val="Normln"/>
    <w:link w:val="TextkomenteChar"/>
    <w:uiPriority w:val="99"/>
    <w:semiHidden/>
    <w:unhideWhenUsed/>
    <w:rsid w:val="00C60A0B"/>
    <w:pPr>
      <w:spacing w:after="200" w:line="240" w:lineRule="auto"/>
    </w:pPr>
    <w:rPr>
      <w:rFonts w:eastAsia="MS Mincho"/>
      <w:sz w:val="20"/>
      <w:szCs w:val="20"/>
    </w:rPr>
  </w:style>
  <w:style w:type="character" w:customStyle="1" w:styleId="PedmtkomenteChar">
    <w:name w:val="Předmět komentáře Char"/>
    <w:basedOn w:val="TextkomenteChar"/>
    <w:link w:val="Pedmtkomente"/>
    <w:uiPriority w:val="99"/>
    <w:semiHidden/>
    <w:rsid w:val="00C60A0B"/>
    <w:rPr>
      <w:rFonts w:ascii="Times New Roman" w:eastAsia="MS Mincho" w:hAnsi="Times New Roman"/>
      <w:b/>
      <w:bCs/>
      <w:sz w:val="20"/>
      <w:szCs w:val="20"/>
    </w:rPr>
  </w:style>
  <w:style w:type="paragraph" w:styleId="Pedmtkomente">
    <w:name w:val="annotation subject"/>
    <w:basedOn w:val="Textkomente"/>
    <w:next w:val="Textkomente"/>
    <w:link w:val="PedmtkomenteChar"/>
    <w:uiPriority w:val="99"/>
    <w:semiHidden/>
    <w:unhideWhenUsed/>
    <w:rsid w:val="00C60A0B"/>
    <w:rPr>
      <w:b/>
      <w:bCs/>
    </w:rPr>
  </w:style>
  <w:style w:type="character" w:customStyle="1" w:styleId="Nevyeenzmnka1">
    <w:name w:val="Nevyřešená zmínka1"/>
    <w:basedOn w:val="Standardnpsmoodstavce"/>
    <w:uiPriority w:val="99"/>
    <w:semiHidden/>
    <w:unhideWhenUsed/>
    <w:rsid w:val="00C60A0B"/>
    <w:rPr>
      <w:color w:val="808080"/>
      <w:shd w:val="clear" w:color="auto" w:fill="E6E6E6"/>
    </w:rPr>
  </w:style>
  <w:style w:type="paragraph" w:styleId="Bibliografie">
    <w:name w:val="Bibliography"/>
    <w:basedOn w:val="Normln"/>
    <w:next w:val="Normln"/>
    <w:uiPriority w:val="37"/>
    <w:unhideWhenUsed/>
    <w:rsid w:val="00C60A0B"/>
    <w:pPr>
      <w:spacing w:after="0" w:line="480" w:lineRule="auto"/>
      <w:ind w:left="720" w:hanging="720"/>
    </w:pPr>
    <w:rPr>
      <w:rFonts w:eastAsia="MS Mincho"/>
    </w:rPr>
  </w:style>
  <w:style w:type="character" w:customStyle="1" w:styleId="bibliographic-informationvalue1">
    <w:name w:val="bibliographic-information__value1"/>
    <w:basedOn w:val="Standardnpsmoodstavce"/>
    <w:rsid w:val="00C60A0B"/>
    <w:rPr>
      <w:vanish w:val="0"/>
      <w:webHidden w:val="0"/>
      <w:specVanish w:val="0"/>
    </w:rPr>
  </w:style>
  <w:style w:type="table" w:styleId="Mkatabulky">
    <w:name w:val="Table Grid"/>
    <w:basedOn w:val="Normlntabulka"/>
    <w:uiPriority w:val="39"/>
    <w:rsid w:val="00C6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uscripttitle">
    <w:name w:val="Manuscript title"/>
    <w:basedOn w:val="Normln"/>
    <w:next w:val="Normln"/>
    <w:qFormat/>
    <w:rsid w:val="00DD509A"/>
    <w:pPr>
      <w:spacing w:after="0" w:line="240" w:lineRule="auto"/>
      <w:jc w:val="center"/>
    </w:pPr>
    <w:rPr>
      <w:rFonts w:eastAsia="Times New Roman" w:cs="Times New Roman"/>
      <w:b/>
      <w:caps/>
      <w:szCs w:val="24"/>
      <w:lang w:val="en-GB" w:eastAsia="en-GB"/>
    </w:rPr>
  </w:style>
  <w:style w:type="paragraph" w:customStyle="1" w:styleId="Paragraph">
    <w:name w:val="Paragraph"/>
    <w:basedOn w:val="Normln"/>
    <w:next w:val="Paragraphbody"/>
    <w:autoRedefine/>
    <w:semiHidden/>
    <w:qFormat/>
    <w:rsid w:val="00DD509A"/>
    <w:pPr>
      <w:widowControl w:val="0"/>
      <w:spacing w:before="240" w:after="0" w:line="240" w:lineRule="auto"/>
    </w:pPr>
    <w:rPr>
      <w:rFonts w:eastAsia="Times New Roman" w:cs="Times New Roman"/>
      <w:sz w:val="20"/>
      <w:szCs w:val="24"/>
      <w:lang w:val="en-GB" w:eastAsia="en-GB"/>
    </w:rPr>
  </w:style>
  <w:style w:type="paragraph" w:customStyle="1" w:styleId="Paragraphbody">
    <w:name w:val="Paragraph body"/>
    <w:basedOn w:val="Normln"/>
    <w:autoRedefine/>
    <w:qFormat/>
    <w:rsid w:val="00DD509A"/>
    <w:pPr>
      <w:spacing w:before="60" w:after="0" w:line="240" w:lineRule="auto"/>
    </w:pPr>
    <w:rPr>
      <w:rFonts w:eastAsia="Times New Roman" w:cs="Times New Roman"/>
      <w:spacing w:val="4"/>
      <w:sz w:val="20"/>
      <w:szCs w:val="24"/>
      <w:lang w:val="en-GB" w:eastAsia="en-GB"/>
    </w:rPr>
  </w:style>
  <w:style w:type="paragraph" w:customStyle="1" w:styleId="Receiveddates">
    <w:name w:val="Received dates"/>
    <w:basedOn w:val="Normln"/>
    <w:next w:val="Abstract"/>
    <w:autoRedefine/>
    <w:qFormat/>
    <w:rsid w:val="00DD509A"/>
    <w:pPr>
      <w:spacing w:before="120" w:after="120" w:line="240" w:lineRule="auto"/>
      <w:jc w:val="center"/>
    </w:pPr>
    <w:rPr>
      <w:rFonts w:eastAsia="Times New Roman" w:cs="Times New Roman"/>
      <w:sz w:val="18"/>
      <w:szCs w:val="24"/>
      <w:lang w:val="en-GB" w:eastAsia="en-GB"/>
    </w:rPr>
  </w:style>
  <w:style w:type="paragraph" w:customStyle="1" w:styleId="Abstract">
    <w:name w:val="Abstract"/>
    <w:basedOn w:val="Normln"/>
    <w:next w:val="Keywords0"/>
    <w:autoRedefine/>
    <w:qFormat/>
    <w:rsid w:val="00DD509A"/>
    <w:pPr>
      <w:spacing w:before="60" w:after="0" w:line="240" w:lineRule="auto"/>
      <w:ind w:left="284" w:right="284"/>
    </w:pPr>
    <w:rPr>
      <w:rFonts w:eastAsia="Times New Roman" w:cs="Times New Roman"/>
      <w:sz w:val="18"/>
      <w:szCs w:val="24"/>
      <w:lang w:val="en-GB" w:eastAsia="en-GB"/>
    </w:rPr>
  </w:style>
  <w:style w:type="paragraph" w:customStyle="1" w:styleId="Keywords0">
    <w:name w:val="Keywords"/>
    <w:basedOn w:val="Normln"/>
    <w:next w:val="Normln"/>
    <w:autoRedefine/>
    <w:qFormat/>
    <w:rsid w:val="00DD509A"/>
    <w:pPr>
      <w:spacing w:before="60" w:after="0" w:line="240" w:lineRule="auto"/>
      <w:ind w:left="284" w:right="284"/>
    </w:pPr>
    <w:rPr>
      <w:rFonts w:eastAsia="Times New Roman" w:cs="Times New Roman"/>
      <w:sz w:val="18"/>
      <w:szCs w:val="24"/>
      <w:lang w:val="en-GB" w:eastAsia="en-GB"/>
    </w:rPr>
  </w:style>
  <w:style w:type="paragraph" w:customStyle="1" w:styleId="Numberedlist">
    <w:name w:val="Numbered list"/>
    <w:basedOn w:val="Normln"/>
    <w:next w:val="Normln"/>
    <w:rsid w:val="00DD509A"/>
    <w:pPr>
      <w:widowControl w:val="0"/>
      <w:numPr>
        <w:numId w:val="23"/>
      </w:numPr>
      <w:spacing w:before="40" w:after="0" w:line="240" w:lineRule="auto"/>
      <w:contextualSpacing/>
    </w:pPr>
    <w:rPr>
      <w:rFonts w:eastAsia="Times New Roman" w:cs="Times New Roman"/>
      <w:sz w:val="20"/>
      <w:szCs w:val="24"/>
      <w:lang w:val="en-GB" w:eastAsia="en-GB"/>
    </w:rPr>
  </w:style>
  <w:style w:type="paragraph" w:customStyle="1" w:styleId="Displayedequation">
    <w:name w:val="Displayed equation"/>
    <w:basedOn w:val="Normln"/>
    <w:next w:val="Normln"/>
    <w:rsid w:val="00DD509A"/>
    <w:pPr>
      <w:tabs>
        <w:tab w:val="center" w:pos="3686"/>
        <w:tab w:val="right" w:pos="7371"/>
      </w:tabs>
      <w:spacing w:before="120" w:after="120" w:line="240" w:lineRule="auto"/>
      <w:ind w:left="284" w:hanging="284"/>
      <w:jc w:val="left"/>
    </w:pPr>
    <w:rPr>
      <w:rFonts w:eastAsia="Times New Roman" w:cs="Times New Roman"/>
      <w:sz w:val="20"/>
      <w:szCs w:val="24"/>
      <w:lang w:val="en-GB" w:eastAsia="en-GB"/>
    </w:rPr>
  </w:style>
  <w:style w:type="paragraph" w:customStyle="1" w:styleId="Tabletitle">
    <w:name w:val="Table title"/>
    <w:basedOn w:val="Normln"/>
    <w:next w:val="Normln"/>
    <w:rsid w:val="00DD509A"/>
    <w:pPr>
      <w:spacing w:before="240" w:after="120" w:line="240" w:lineRule="auto"/>
      <w:jc w:val="center"/>
    </w:pPr>
    <w:rPr>
      <w:rFonts w:eastAsia="Times New Roman" w:cs="Times New Roman"/>
      <w:spacing w:val="4"/>
      <w:sz w:val="18"/>
      <w:szCs w:val="24"/>
      <w:lang w:val="en-GB" w:eastAsia="en-GB"/>
    </w:rPr>
  </w:style>
  <w:style w:type="paragraph" w:customStyle="1" w:styleId="Paragraphbody0ident">
    <w:name w:val="Paragraph body 0 ident"/>
    <w:basedOn w:val="Normln"/>
    <w:rsid w:val="00DD509A"/>
    <w:pPr>
      <w:spacing w:after="0" w:line="240" w:lineRule="auto"/>
    </w:pPr>
    <w:rPr>
      <w:rFonts w:eastAsia="Times New Roman" w:cs="Times New Roman"/>
      <w:spacing w:val="2"/>
      <w:sz w:val="20"/>
      <w:szCs w:val="24"/>
      <w:lang w:val="en-US" w:eastAsia="en-GB"/>
    </w:rPr>
  </w:style>
  <w:style w:type="character" w:customStyle="1" w:styleId="11REFERENCESChar">
    <w:name w:val="11_REFERENCES Char"/>
    <w:link w:val="11REFERENCES"/>
    <w:rsid w:val="00DD509A"/>
    <w:rPr>
      <w:color w:val="000000"/>
      <w:sz w:val="18"/>
      <w:szCs w:val="19"/>
    </w:rPr>
  </w:style>
  <w:style w:type="paragraph" w:customStyle="1" w:styleId="11REFERENCES">
    <w:name w:val="11_REFERENCES"/>
    <w:basedOn w:val="Normln"/>
    <w:link w:val="11REFERENCESChar"/>
    <w:rsid w:val="00DD509A"/>
    <w:pPr>
      <w:widowControl w:val="0"/>
      <w:autoSpaceDE w:val="0"/>
      <w:autoSpaceDN w:val="0"/>
      <w:adjustRightInd w:val="0"/>
      <w:spacing w:after="40" w:line="240" w:lineRule="auto"/>
      <w:ind w:left="425" w:hanging="425"/>
      <w:textAlignment w:val="center"/>
    </w:pPr>
    <w:rPr>
      <w:rFonts w:asciiTheme="minorHAnsi" w:hAnsiTheme="minorHAnsi"/>
      <w:color w:val="000000"/>
      <w:sz w:val="18"/>
      <w:szCs w:val="19"/>
    </w:rPr>
  </w:style>
  <w:style w:type="character" w:styleId="PromnnHTML">
    <w:name w:val="HTML Variable"/>
    <w:basedOn w:val="Standardnpsmoodstavce"/>
    <w:uiPriority w:val="99"/>
    <w:semiHidden/>
    <w:unhideWhenUsed/>
    <w:rsid w:val="00740020"/>
    <w:rPr>
      <w:i/>
      <w:iCs/>
    </w:rPr>
  </w:style>
  <w:style w:type="character" w:styleId="Odkaznavysvtlivky">
    <w:name w:val="endnote reference"/>
    <w:basedOn w:val="Standardnpsmoodstavce"/>
    <w:uiPriority w:val="99"/>
    <w:semiHidden/>
    <w:unhideWhenUsed/>
    <w:rsid w:val="00740020"/>
    <w:rPr>
      <w:vertAlign w:val="superscript"/>
    </w:rPr>
  </w:style>
  <w:style w:type="character" w:styleId="Odkaznakoment">
    <w:name w:val="annotation reference"/>
    <w:basedOn w:val="Standardnpsmoodstavce"/>
    <w:uiPriority w:val="99"/>
    <w:semiHidden/>
    <w:unhideWhenUsed/>
    <w:rsid w:val="00740020"/>
    <w:rPr>
      <w:sz w:val="16"/>
      <w:szCs w:val="16"/>
    </w:rPr>
  </w:style>
  <w:style w:type="paragraph" w:styleId="Revize">
    <w:name w:val="Revision"/>
    <w:hidden/>
    <w:uiPriority w:val="99"/>
    <w:semiHidden/>
    <w:rsid w:val="00740020"/>
    <w:pPr>
      <w:spacing w:after="0" w:line="240" w:lineRule="auto"/>
    </w:pPr>
    <w:rPr>
      <w:rFonts w:ascii="Times New Roman" w:eastAsia="MS Mincho" w:hAnsi="Times New Roman"/>
      <w:sz w:val="24"/>
    </w:rPr>
  </w:style>
  <w:style w:type="character" w:customStyle="1" w:styleId="UnresolvedMention">
    <w:name w:val="Unresolved Mention"/>
    <w:basedOn w:val="Standardnpsmoodstavce"/>
    <w:uiPriority w:val="99"/>
    <w:semiHidden/>
    <w:unhideWhenUsed/>
    <w:rsid w:val="007400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9474454">
      <w:bodyDiv w:val="1"/>
      <w:marLeft w:val="0"/>
      <w:marRight w:val="0"/>
      <w:marTop w:val="0"/>
      <w:marBottom w:val="0"/>
      <w:divBdr>
        <w:top w:val="none" w:sz="0" w:space="0" w:color="auto"/>
        <w:left w:val="none" w:sz="0" w:space="0" w:color="auto"/>
        <w:bottom w:val="none" w:sz="0" w:space="0" w:color="auto"/>
        <w:right w:val="none" w:sz="0" w:space="0" w:color="auto"/>
      </w:divBdr>
    </w:div>
    <w:div w:id="96683690">
      <w:bodyDiv w:val="1"/>
      <w:marLeft w:val="0"/>
      <w:marRight w:val="0"/>
      <w:marTop w:val="0"/>
      <w:marBottom w:val="0"/>
      <w:divBdr>
        <w:top w:val="none" w:sz="0" w:space="0" w:color="auto"/>
        <w:left w:val="none" w:sz="0" w:space="0" w:color="auto"/>
        <w:bottom w:val="none" w:sz="0" w:space="0" w:color="auto"/>
        <w:right w:val="none" w:sz="0" w:space="0" w:color="auto"/>
      </w:divBdr>
    </w:div>
    <w:div w:id="107236724">
      <w:bodyDiv w:val="1"/>
      <w:marLeft w:val="0"/>
      <w:marRight w:val="0"/>
      <w:marTop w:val="0"/>
      <w:marBottom w:val="0"/>
      <w:divBdr>
        <w:top w:val="none" w:sz="0" w:space="0" w:color="auto"/>
        <w:left w:val="none" w:sz="0" w:space="0" w:color="auto"/>
        <w:bottom w:val="none" w:sz="0" w:space="0" w:color="auto"/>
        <w:right w:val="none" w:sz="0" w:space="0" w:color="auto"/>
      </w:divBdr>
    </w:div>
    <w:div w:id="135682021">
      <w:bodyDiv w:val="1"/>
      <w:marLeft w:val="0"/>
      <w:marRight w:val="0"/>
      <w:marTop w:val="0"/>
      <w:marBottom w:val="0"/>
      <w:divBdr>
        <w:top w:val="none" w:sz="0" w:space="0" w:color="auto"/>
        <w:left w:val="none" w:sz="0" w:space="0" w:color="auto"/>
        <w:bottom w:val="none" w:sz="0" w:space="0" w:color="auto"/>
        <w:right w:val="none" w:sz="0" w:space="0" w:color="auto"/>
      </w:divBdr>
    </w:div>
    <w:div w:id="230585792">
      <w:bodyDiv w:val="1"/>
      <w:marLeft w:val="0"/>
      <w:marRight w:val="0"/>
      <w:marTop w:val="0"/>
      <w:marBottom w:val="0"/>
      <w:divBdr>
        <w:top w:val="none" w:sz="0" w:space="0" w:color="auto"/>
        <w:left w:val="none" w:sz="0" w:space="0" w:color="auto"/>
        <w:bottom w:val="none" w:sz="0" w:space="0" w:color="auto"/>
        <w:right w:val="none" w:sz="0" w:space="0" w:color="auto"/>
      </w:divBdr>
    </w:div>
    <w:div w:id="384448330">
      <w:bodyDiv w:val="1"/>
      <w:marLeft w:val="0"/>
      <w:marRight w:val="0"/>
      <w:marTop w:val="0"/>
      <w:marBottom w:val="0"/>
      <w:divBdr>
        <w:top w:val="none" w:sz="0" w:space="0" w:color="auto"/>
        <w:left w:val="none" w:sz="0" w:space="0" w:color="auto"/>
        <w:bottom w:val="none" w:sz="0" w:space="0" w:color="auto"/>
        <w:right w:val="none" w:sz="0" w:space="0" w:color="auto"/>
      </w:divBdr>
    </w:div>
    <w:div w:id="393819143">
      <w:bodyDiv w:val="1"/>
      <w:marLeft w:val="0"/>
      <w:marRight w:val="0"/>
      <w:marTop w:val="0"/>
      <w:marBottom w:val="0"/>
      <w:divBdr>
        <w:top w:val="none" w:sz="0" w:space="0" w:color="auto"/>
        <w:left w:val="none" w:sz="0" w:space="0" w:color="auto"/>
        <w:bottom w:val="none" w:sz="0" w:space="0" w:color="auto"/>
        <w:right w:val="none" w:sz="0" w:space="0" w:color="auto"/>
      </w:divBdr>
    </w:div>
    <w:div w:id="398480601">
      <w:bodyDiv w:val="1"/>
      <w:marLeft w:val="0"/>
      <w:marRight w:val="0"/>
      <w:marTop w:val="0"/>
      <w:marBottom w:val="0"/>
      <w:divBdr>
        <w:top w:val="none" w:sz="0" w:space="0" w:color="auto"/>
        <w:left w:val="none" w:sz="0" w:space="0" w:color="auto"/>
        <w:bottom w:val="none" w:sz="0" w:space="0" w:color="auto"/>
        <w:right w:val="none" w:sz="0" w:space="0" w:color="auto"/>
      </w:divBdr>
    </w:div>
    <w:div w:id="399255761">
      <w:bodyDiv w:val="1"/>
      <w:marLeft w:val="0"/>
      <w:marRight w:val="0"/>
      <w:marTop w:val="0"/>
      <w:marBottom w:val="0"/>
      <w:divBdr>
        <w:top w:val="none" w:sz="0" w:space="0" w:color="auto"/>
        <w:left w:val="none" w:sz="0" w:space="0" w:color="auto"/>
        <w:bottom w:val="none" w:sz="0" w:space="0" w:color="auto"/>
        <w:right w:val="none" w:sz="0" w:space="0" w:color="auto"/>
      </w:divBdr>
    </w:div>
    <w:div w:id="423918485">
      <w:bodyDiv w:val="1"/>
      <w:marLeft w:val="0"/>
      <w:marRight w:val="0"/>
      <w:marTop w:val="0"/>
      <w:marBottom w:val="0"/>
      <w:divBdr>
        <w:top w:val="none" w:sz="0" w:space="0" w:color="auto"/>
        <w:left w:val="none" w:sz="0" w:space="0" w:color="auto"/>
        <w:bottom w:val="none" w:sz="0" w:space="0" w:color="auto"/>
        <w:right w:val="none" w:sz="0" w:space="0" w:color="auto"/>
      </w:divBdr>
    </w:div>
    <w:div w:id="429199583">
      <w:bodyDiv w:val="1"/>
      <w:marLeft w:val="0"/>
      <w:marRight w:val="0"/>
      <w:marTop w:val="0"/>
      <w:marBottom w:val="0"/>
      <w:divBdr>
        <w:top w:val="none" w:sz="0" w:space="0" w:color="auto"/>
        <w:left w:val="none" w:sz="0" w:space="0" w:color="auto"/>
        <w:bottom w:val="none" w:sz="0" w:space="0" w:color="auto"/>
        <w:right w:val="none" w:sz="0" w:space="0" w:color="auto"/>
      </w:divBdr>
    </w:div>
    <w:div w:id="429816193">
      <w:bodyDiv w:val="1"/>
      <w:marLeft w:val="0"/>
      <w:marRight w:val="0"/>
      <w:marTop w:val="0"/>
      <w:marBottom w:val="0"/>
      <w:divBdr>
        <w:top w:val="none" w:sz="0" w:space="0" w:color="auto"/>
        <w:left w:val="none" w:sz="0" w:space="0" w:color="auto"/>
        <w:bottom w:val="none" w:sz="0" w:space="0" w:color="auto"/>
        <w:right w:val="none" w:sz="0" w:space="0" w:color="auto"/>
      </w:divBdr>
    </w:div>
    <w:div w:id="543250260">
      <w:bodyDiv w:val="1"/>
      <w:marLeft w:val="0"/>
      <w:marRight w:val="0"/>
      <w:marTop w:val="0"/>
      <w:marBottom w:val="0"/>
      <w:divBdr>
        <w:top w:val="none" w:sz="0" w:space="0" w:color="auto"/>
        <w:left w:val="none" w:sz="0" w:space="0" w:color="auto"/>
        <w:bottom w:val="none" w:sz="0" w:space="0" w:color="auto"/>
        <w:right w:val="none" w:sz="0" w:space="0" w:color="auto"/>
      </w:divBdr>
    </w:div>
    <w:div w:id="636224628">
      <w:bodyDiv w:val="1"/>
      <w:marLeft w:val="0"/>
      <w:marRight w:val="0"/>
      <w:marTop w:val="0"/>
      <w:marBottom w:val="0"/>
      <w:divBdr>
        <w:top w:val="none" w:sz="0" w:space="0" w:color="auto"/>
        <w:left w:val="none" w:sz="0" w:space="0" w:color="auto"/>
        <w:bottom w:val="none" w:sz="0" w:space="0" w:color="auto"/>
        <w:right w:val="none" w:sz="0" w:space="0" w:color="auto"/>
      </w:divBdr>
    </w:div>
    <w:div w:id="641810893">
      <w:bodyDiv w:val="1"/>
      <w:marLeft w:val="0"/>
      <w:marRight w:val="0"/>
      <w:marTop w:val="0"/>
      <w:marBottom w:val="0"/>
      <w:divBdr>
        <w:top w:val="none" w:sz="0" w:space="0" w:color="auto"/>
        <w:left w:val="none" w:sz="0" w:space="0" w:color="auto"/>
        <w:bottom w:val="none" w:sz="0" w:space="0" w:color="auto"/>
        <w:right w:val="none" w:sz="0" w:space="0" w:color="auto"/>
      </w:divBdr>
    </w:div>
    <w:div w:id="701130135">
      <w:bodyDiv w:val="1"/>
      <w:marLeft w:val="0"/>
      <w:marRight w:val="0"/>
      <w:marTop w:val="0"/>
      <w:marBottom w:val="0"/>
      <w:divBdr>
        <w:top w:val="none" w:sz="0" w:space="0" w:color="auto"/>
        <w:left w:val="none" w:sz="0" w:space="0" w:color="auto"/>
        <w:bottom w:val="none" w:sz="0" w:space="0" w:color="auto"/>
        <w:right w:val="none" w:sz="0" w:space="0" w:color="auto"/>
      </w:divBdr>
    </w:div>
    <w:div w:id="724529318">
      <w:bodyDiv w:val="1"/>
      <w:marLeft w:val="0"/>
      <w:marRight w:val="0"/>
      <w:marTop w:val="0"/>
      <w:marBottom w:val="0"/>
      <w:divBdr>
        <w:top w:val="none" w:sz="0" w:space="0" w:color="auto"/>
        <w:left w:val="none" w:sz="0" w:space="0" w:color="auto"/>
        <w:bottom w:val="none" w:sz="0" w:space="0" w:color="auto"/>
        <w:right w:val="none" w:sz="0" w:space="0" w:color="auto"/>
      </w:divBdr>
    </w:div>
    <w:div w:id="749276324">
      <w:bodyDiv w:val="1"/>
      <w:marLeft w:val="0"/>
      <w:marRight w:val="0"/>
      <w:marTop w:val="0"/>
      <w:marBottom w:val="0"/>
      <w:divBdr>
        <w:top w:val="none" w:sz="0" w:space="0" w:color="auto"/>
        <w:left w:val="none" w:sz="0" w:space="0" w:color="auto"/>
        <w:bottom w:val="none" w:sz="0" w:space="0" w:color="auto"/>
        <w:right w:val="none" w:sz="0" w:space="0" w:color="auto"/>
      </w:divBdr>
    </w:div>
    <w:div w:id="803231093">
      <w:bodyDiv w:val="1"/>
      <w:marLeft w:val="0"/>
      <w:marRight w:val="0"/>
      <w:marTop w:val="0"/>
      <w:marBottom w:val="0"/>
      <w:divBdr>
        <w:top w:val="none" w:sz="0" w:space="0" w:color="auto"/>
        <w:left w:val="none" w:sz="0" w:space="0" w:color="auto"/>
        <w:bottom w:val="none" w:sz="0" w:space="0" w:color="auto"/>
        <w:right w:val="none" w:sz="0" w:space="0" w:color="auto"/>
      </w:divBdr>
    </w:div>
    <w:div w:id="825437103">
      <w:bodyDiv w:val="1"/>
      <w:marLeft w:val="0"/>
      <w:marRight w:val="0"/>
      <w:marTop w:val="0"/>
      <w:marBottom w:val="0"/>
      <w:divBdr>
        <w:top w:val="none" w:sz="0" w:space="0" w:color="auto"/>
        <w:left w:val="none" w:sz="0" w:space="0" w:color="auto"/>
        <w:bottom w:val="none" w:sz="0" w:space="0" w:color="auto"/>
        <w:right w:val="none" w:sz="0" w:space="0" w:color="auto"/>
      </w:divBdr>
    </w:div>
    <w:div w:id="835805065">
      <w:bodyDiv w:val="1"/>
      <w:marLeft w:val="0"/>
      <w:marRight w:val="0"/>
      <w:marTop w:val="0"/>
      <w:marBottom w:val="0"/>
      <w:divBdr>
        <w:top w:val="none" w:sz="0" w:space="0" w:color="auto"/>
        <w:left w:val="none" w:sz="0" w:space="0" w:color="auto"/>
        <w:bottom w:val="none" w:sz="0" w:space="0" w:color="auto"/>
        <w:right w:val="none" w:sz="0" w:space="0" w:color="auto"/>
      </w:divBdr>
    </w:div>
    <w:div w:id="879165502">
      <w:bodyDiv w:val="1"/>
      <w:marLeft w:val="0"/>
      <w:marRight w:val="0"/>
      <w:marTop w:val="0"/>
      <w:marBottom w:val="0"/>
      <w:divBdr>
        <w:top w:val="none" w:sz="0" w:space="0" w:color="auto"/>
        <w:left w:val="none" w:sz="0" w:space="0" w:color="auto"/>
        <w:bottom w:val="none" w:sz="0" w:space="0" w:color="auto"/>
        <w:right w:val="none" w:sz="0" w:space="0" w:color="auto"/>
      </w:divBdr>
    </w:div>
    <w:div w:id="900096154">
      <w:bodyDiv w:val="1"/>
      <w:marLeft w:val="0"/>
      <w:marRight w:val="0"/>
      <w:marTop w:val="0"/>
      <w:marBottom w:val="0"/>
      <w:divBdr>
        <w:top w:val="none" w:sz="0" w:space="0" w:color="auto"/>
        <w:left w:val="none" w:sz="0" w:space="0" w:color="auto"/>
        <w:bottom w:val="none" w:sz="0" w:space="0" w:color="auto"/>
        <w:right w:val="none" w:sz="0" w:space="0" w:color="auto"/>
      </w:divBdr>
    </w:div>
    <w:div w:id="930702386">
      <w:bodyDiv w:val="1"/>
      <w:marLeft w:val="0"/>
      <w:marRight w:val="0"/>
      <w:marTop w:val="0"/>
      <w:marBottom w:val="0"/>
      <w:divBdr>
        <w:top w:val="none" w:sz="0" w:space="0" w:color="auto"/>
        <w:left w:val="none" w:sz="0" w:space="0" w:color="auto"/>
        <w:bottom w:val="none" w:sz="0" w:space="0" w:color="auto"/>
        <w:right w:val="none" w:sz="0" w:space="0" w:color="auto"/>
      </w:divBdr>
    </w:div>
    <w:div w:id="1144274465">
      <w:bodyDiv w:val="1"/>
      <w:marLeft w:val="0"/>
      <w:marRight w:val="0"/>
      <w:marTop w:val="0"/>
      <w:marBottom w:val="0"/>
      <w:divBdr>
        <w:top w:val="none" w:sz="0" w:space="0" w:color="auto"/>
        <w:left w:val="none" w:sz="0" w:space="0" w:color="auto"/>
        <w:bottom w:val="none" w:sz="0" w:space="0" w:color="auto"/>
        <w:right w:val="none" w:sz="0" w:space="0" w:color="auto"/>
      </w:divBdr>
    </w:div>
    <w:div w:id="1180970783">
      <w:bodyDiv w:val="1"/>
      <w:marLeft w:val="0"/>
      <w:marRight w:val="0"/>
      <w:marTop w:val="0"/>
      <w:marBottom w:val="0"/>
      <w:divBdr>
        <w:top w:val="none" w:sz="0" w:space="0" w:color="auto"/>
        <w:left w:val="none" w:sz="0" w:space="0" w:color="auto"/>
        <w:bottom w:val="none" w:sz="0" w:space="0" w:color="auto"/>
        <w:right w:val="none" w:sz="0" w:space="0" w:color="auto"/>
      </w:divBdr>
    </w:div>
    <w:div w:id="1214854119">
      <w:bodyDiv w:val="1"/>
      <w:marLeft w:val="0"/>
      <w:marRight w:val="0"/>
      <w:marTop w:val="0"/>
      <w:marBottom w:val="0"/>
      <w:divBdr>
        <w:top w:val="none" w:sz="0" w:space="0" w:color="auto"/>
        <w:left w:val="none" w:sz="0" w:space="0" w:color="auto"/>
        <w:bottom w:val="none" w:sz="0" w:space="0" w:color="auto"/>
        <w:right w:val="none" w:sz="0" w:space="0" w:color="auto"/>
      </w:divBdr>
    </w:div>
    <w:div w:id="1230266792">
      <w:bodyDiv w:val="1"/>
      <w:marLeft w:val="0"/>
      <w:marRight w:val="0"/>
      <w:marTop w:val="0"/>
      <w:marBottom w:val="0"/>
      <w:divBdr>
        <w:top w:val="none" w:sz="0" w:space="0" w:color="auto"/>
        <w:left w:val="none" w:sz="0" w:space="0" w:color="auto"/>
        <w:bottom w:val="none" w:sz="0" w:space="0" w:color="auto"/>
        <w:right w:val="none" w:sz="0" w:space="0" w:color="auto"/>
      </w:divBdr>
    </w:div>
    <w:div w:id="1284195784">
      <w:bodyDiv w:val="1"/>
      <w:marLeft w:val="0"/>
      <w:marRight w:val="0"/>
      <w:marTop w:val="0"/>
      <w:marBottom w:val="0"/>
      <w:divBdr>
        <w:top w:val="none" w:sz="0" w:space="0" w:color="auto"/>
        <w:left w:val="none" w:sz="0" w:space="0" w:color="auto"/>
        <w:bottom w:val="none" w:sz="0" w:space="0" w:color="auto"/>
        <w:right w:val="none" w:sz="0" w:space="0" w:color="auto"/>
      </w:divBdr>
    </w:div>
    <w:div w:id="1295940205">
      <w:bodyDiv w:val="1"/>
      <w:marLeft w:val="0"/>
      <w:marRight w:val="0"/>
      <w:marTop w:val="0"/>
      <w:marBottom w:val="0"/>
      <w:divBdr>
        <w:top w:val="none" w:sz="0" w:space="0" w:color="auto"/>
        <w:left w:val="none" w:sz="0" w:space="0" w:color="auto"/>
        <w:bottom w:val="none" w:sz="0" w:space="0" w:color="auto"/>
        <w:right w:val="none" w:sz="0" w:space="0" w:color="auto"/>
      </w:divBdr>
    </w:div>
    <w:div w:id="1331837362">
      <w:bodyDiv w:val="1"/>
      <w:marLeft w:val="0"/>
      <w:marRight w:val="0"/>
      <w:marTop w:val="0"/>
      <w:marBottom w:val="0"/>
      <w:divBdr>
        <w:top w:val="none" w:sz="0" w:space="0" w:color="auto"/>
        <w:left w:val="none" w:sz="0" w:space="0" w:color="auto"/>
        <w:bottom w:val="none" w:sz="0" w:space="0" w:color="auto"/>
        <w:right w:val="none" w:sz="0" w:space="0" w:color="auto"/>
      </w:divBdr>
    </w:div>
    <w:div w:id="1336148668">
      <w:bodyDiv w:val="1"/>
      <w:marLeft w:val="0"/>
      <w:marRight w:val="0"/>
      <w:marTop w:val="0"/>
      <w:marBottom w:val="0"/>
      <w:divBdr>
        <w:top w:val="none" w:sz="0" w:space="0" w:color="auto"/>
        <w:left w:val="none" w:sz="0" w:space="0" w:color="auto"/>
        <w:bottom w:val="none" w:sz="0" w:space="0" w:color="auto"/>
        <w:right w:val="none" w:sz="0" w:space="0" w:color="auto"/>
      </w:divBdr>
    </w:div>
    <w:div w:id="1373992974">
      <w:bodyDiv w:val="1"/>
      <w:marLeft w:val="0"/>
      <w:marRight w:val="0"/>
      <w:marTop w:val="0"/>
      <w:marBottom w:val="0"/>
      <w:divBdr>
        <w:top w:val="none" w:sz="0" w:space="0" w:color="auto"/>
        <w:left w:val="none" w:sz="0" w:space="0" w:color="auto"/>
        <w:bottom w:val="none" w:sz="0" w:space="0" w:color="auto"/>
        <w:right w:val="none" w:sz="0" w:space="0" w:color="auto"/>
      </w:divBdr>
    </w:div>
    <w:div w:id="1415978707">
      <w:bodyDiv w:val="1"/>
      <w:marLeft w:val="0"/>
      <w:marRight w:val="0"/>
      <w:marTop w:val="0"/>
      <w:marBottom w:val="0"/>
      <w:divBdr>
        <w:top w:val="none" w:sz="0" w:space="0" w:color="auto"/>
        <w:left w:val="none" w:sz="0" w:space="0" w:color="auto"/>
        <w:bottom w:val="none" w:sz="0" w:space="0" w:color="auto"/>
        <w:right w:val="none" w:sz="0" w:space="0" w:color="auto"/>
      </w:divBdr>
    </w:div>
    <w:div w:id="1417049999">
      <w:bodyDiv w:val="1"/>
      <w:marLeft w:val="0"/>
      <w:marRight w:val="0"/>
      <w:marTop w:val="0"/>
      <w:marBottom w:val="0"/>
      <w:divBdr>
        <w:top w:val="none" w:sz="0" w:space="0" w:color="auto"/>
        <w:left w:val="none" w:sz="0" w:space="0" w:color="auto"/>
        <w:bottom w:val="none" w:sz="0" w:space="0" w:color="auto"/>
        <w:right w:val="none" w:sz="0" w:space="0" w:color="auto"/>
      </w:divBdr>
    </w:div>
    <w:div w:id="1440181202">
      <w:bodyDiv w:val="1"/>
      <w:marLeft w:val="0"/>
      <w:marRight w:val="0"/>
      <w:marTop w:val="0"/>
      <w:marBottom w:val="0"/>
      <w:divBdr>
        <w:top w:val="none" w:sz="0" w:space="0" w:color="auto"/>
        <w:left w:val="none" w:sz="0" w:space="0" w:color="auto"/>
        <w:bottom w:val="none" w:sz="0" w:space="0" w:color="auto"/>
        <w:right w:val="none" w:sz="0" w:space="0" w:color="auto"/>
      </w:divBdr>
      <w:divsChild>
        <w:div w:id="1932548070">
          <w:marLeft w:val="1800"/>
          <w:marRight w:val="0"/>
          <w:marTop w:val="91"/>
          <w:marBottom w:val="0"/>
          <w:divBdr>
            <w:top w:val="none" w:sz="0" w:space="0" w:color="auto"/>
            <w:left w:val="none" w:sz="0" w:space="0" w:color="auto"/>
            <w:bottom w:val="none" w:sz="0" w:space="0" w:color="auto"/>
            <w:right w:val="none" w:sz="0" w:space="0" w:color="auto"/>
          </w:divBdr>
        </w:div>
        <w:div w:id="10957585">
          <w:marLeft w:val="1800"/>
          <w:marRight w:val="0"/>
          <w:marTop w:val="91"/>
          <w:marBottom w:val="0"/>
          <w:divBdr>
            <w:top w:val="none" w:sz="0" w:space="0" w:color="auto"/>
            <w:left w:val="none" w:sz="0" w:space="0" w:color="auto"/>
            <w:bottom w:val="none" w:sz="0" w:space="0" w:color="auto"/>
            <w:right w:val="none" w:sz="0" w:space="0" w:color="auto"/>
          </w:divBdr>
        </w:div>
        <w:div w:id="1386369846">
          <w:marLeft w:val="1800"/>
          <w:marRight w:val="0"/>
          <w:marTop w:val="91"/>
          <w:marBottom w:val="0"/>
          <w:divBdr>
            <w:top w:val="none" w:sz="0" w:space="0" w:color="auto"/>
            <w:left w:val="none" w:sz="0" w:space="0" w:color="auto"/>
            <w:bottom w:val="none" w:sz="0" w:space="0" w:color="auto"/>
            <w:right w:val="none" w:sz="0" w:space="0" w:color="auto"/>
          </w:divBdr>
        </w:div>
        <w:div w:id="1758283863">
          <w:marLeft w:val="1800"/>
          <w:marRight w:val="0"/>
          <w:marTop w:val="91"/>
          <w:marBottom w:val="0"/>
          <w:divBdr>
            <w:top w:val="none" w:sz="0" w:space="0" w:color="auto"/>
            <w:left w:val="none" w:sz="0" w:space="0" w:color="auto"/>
            <w:bottom w:val="none" w:sz="0" w:space="0" w:color="auto"/>
            <w:right w:val="none" w:sz="0" w:space="0" w:color="auto"/>
          </w:divBdr>
        </w:div>
        <w:div w:id="1270313540">
          <w:marLeft w:val="1800"/>
          <w:marRight w:val="0"/>
          <w:marTop w:val="91"/>
          <w:marBottom w:val="0"/>
          <w:divBdr>
            <w:top w:val="none" w:sz="0" w:space="0" w:color="auto"/>
            <w:left w:val="none" w:sz="0" w:space="0" w:color="auto"/>
            <w:bottom w:val="none" w:sz="0" w:space="0" w:color="auto"/>
            <w:right w:val="none" w:sz="0" w:space="0" w:color="auto"/>
          </w:divBdr>
        </w:div>
        <w:div w:id="2044939218">
          <w:marLeft w:val="1800"/>
          <w:marRight w:val="0"/>
          <w:marTop w:val="91"/>
          <w:marBottom w:val="0"/>
          <w:divBdr>
            <w:top w:val="none" w:sz="0" w:space="0" w:color="auto"/>
            <w:left w:val="none" w:sz="0" w:space="0" w:color="auto"/>
            <w:bottom w:val="none" w:sz="0" w:space="0" w:color="auto"/>
            <w:right w:val="none" w:sz="0" w:space="0" w:color="auto"/>
          </w:divBdr>
        </w:div>
        <w:div w:id="1659192125">
          <w:marLeft w:val="1800"/>
          <w:marRight w:val="0"/>
          <w:marTop w:val="91"/>
          <w:marBottom w:val="0"/>
          <w:divBdr>
            <w:top w:val="none" w:sz="0" w:space="0" w:color="auto"/>
            <w:left w:val="none" w:sz="0" w:space="0" w:color="auto"/>
            <w:bottom w:val="none" w:sz="0" w:space="0" w:color="auto"/>
            <w:right w:val="none" w:sz="0" w:space="0" w:color="auto"/>
          </w:divBdr>
        </w:div>
        <w:div w:id="1746680931">
          <w:marLeft w:val="547"/>
          <w:marRight w:val="0"/>
          <w:marTop w:val="91"/>
          <w:marBottom w:val="0"/>
          <w:divBdr>
            <w:top w:val="none" w:sz="0" w:space="0" w:color="auto"/>
            <w:left w:val="none" w:sz="0" w:space="0" w:color="auto"/>
            <w:bottom w:val="none" w:sz="0" w:space="0" w:color="auto"/>
            <w:right w:val="none" w:sz="0" w:space="0" w:color="auto"/>
          </w:divBdr>
        </w:div>
        <w:div w:id="1136024885">
          <w:marLeft w:val="547"/>
          <w:marRight w:val="0"/>
          <w:marTop w:val="91"/>
          <w:marBottom w:val="0"/>
          <w:divBdr>
            <w:top w:val="none" w:sz="0" w:space="0" w:color="auto"/>
            <w:left w:val="none" w:sz="0" w:space="0" w:color="auto"/>
            <w:bottom w:val="none" w:sz="0" w:space="0" w:color="auto"/>
            <w:right w:val="none" w:sz="0" w:space="0" w:color="auto"/>
          </w:divBdr>
        </w:div>
      </w:divsChild>
    </w:div>
    <w:div w:id="1455103081">
      <w:bodyDiv w:val="1"/>
      <w:marLeft w:val="0"/>
      <w:marRight w:val="0"/>
      <w:marTop w:val="0"/>
      <w:marBottom w:val="0"/>
      <w:divBdr>
        <w:top w:val="none" w:sz="0" w:space="0" w:color="auto"/>
        <w:left w:val="none" w:sz="0" w:space="0" w:color="auto"/>
        <w:bottom w:val="none" w:sz="0" w:space="0" w:color="auto"/>
        <w:right w:val="none" w:sz="0" w:space="0" w:color="auto"/>
      </w:divBdr>
    </w:div>
    <w:div w:id="1599024282">
      <w:bodyDiv w:val="1"/>
      <w:marLeft w:val="0"/>
      <w:marRight w:val="0"/>
      <w:marTop w:val="0"/>
      <w:marBottom w:val="0"/>
      <w:divBdr>
        <w:top w:val="none" w:sz="0" w:space="0" w:color="auto"/>
        <w:left w:val="none" w:sz="0" w:space="0" w:color="auto"/>
        <w:bottom w:val="none" w:sz="0" w:space="0" w:color="auto"/>
        <w:right w:val="none" w:sz="0" w:space="0" w:color="auto"/>
      </w:divBdr>
    </w:div>
    <w:div w:id="1606881976">
      <w:bodyDiv w:val="1"/>
      <w:marLeft w:val="0"/>
      <w:marRight w:val="0"/>
      <w:marTop w:val="0"/>
      <w:marBottom w:val="0"/>
      <w:divBdr>
        <w:top w:val="none" w:sz="0" w:space="0" w:color="auto"/>
        <w:left w:val="none" w:sz="0" w:space="0" w:color="auto"/>
        <w:bottom w:val="none" w:sz="0" w:space="0" w:color="auto"/>
        <w:right w:val="none" w:sz="0" w:space="0" w:color="auto"/>
      </w:divBdr>
    </w:div>
    <w:div w:id="1620526013">
      <w:bodyDiv w:val="1"/>
      <w:marLeft w:val="0"/>
      <w:marRight w:val="0"/>
      <w:marTop w:val="0"/>
      <w:marBottom w:val="0"/>
      <w:divBdr>
        <w:top w:val="none" w:sz="0" w:space="0" w:color="auto"/>
        <w:left w:val="none" w:sz="0" w:space="0" w:color="auto"/>
        <w:bottom w:val="none" w:sz="0" w:space="0" w:color="auto"/>
        <w:right w:val="none" w:sz="0" w:space="0" w:color="auto"/>
      </w:divBdr>
    </w:div>
    <w:div w:id="1625504999">
      <w:bodyDiv w:val="1"/>
      <w:marLeft w:val="0"/>
      <w:marRight w:val="0"/>
      <w:marTop w:val="0"/>
      <w:marBottom w:val="0"/>
      <w:divBdr>
        <w:top w:val="none" w:sz="0" w:space="0" w:color="auto"/>
        <w:left w:val="none" w:sz="0" w:space="0" w:color="auto"/>
        <w:bottom w:val="none" w:sz="0" w:space="0" w:color="auto"/>
        <w:right w:val="none" w:sz="0" w:space="0" w:color="auto"/>
      </w:divBdr>
    </w:div>
    <w:div w:id="1700204602">
      <w:bodyDiv w:val="1"/>
      <w:marLeft w:val="0"/>
      <w:marRight w:val="0"/>
      <w:marTop w:val="0"/>
      <w:marBottom w:val="0"/>
      <w:divBdr>
        <w:top w:val="none" w:sz="0" w:space="0" w:color="auto"/>
        <w:left w:val="none" w:sz="0" w:space="0" w:color="auto"/>
        <w:bottom w:val="none" w:sz="0" w:space="0" w:color="auto"/>
        <w:right w:val="none" w:sz="0" w:space="0" w:color="auto"/>
      </w:divBdr>
    </w:div>
    <w:div w:id="1730225718">
      <w:bodyDiv w:val="1"/>
      <w:marLeft w:val="0"/>
      <w:marRight w:val="0"/>
      <w:marTop w:val="0"/>
      <w:marBottom w:val="0"/>
      <w:divBdr>
        <w:top w:val="none" w:sz="0" w:space="0" w:color="auto"/>
        <w:left w:val="none" w:sz="0" w:space="0" w:color="auto"/>
        <w:bottom w:val="none" w:sz="0" w:space="0" w:color="auto"/>
        <w:right w:val="none" w:sz="0" w:space="0" w:color="auto"/>
      </w:divBdr>
    </w:div>
    <w:div w:id="1779177114">
      <w:bodyDiv w:val="1"/>
      <w:marLeft w:val="0"/>
      <w:marRight w:val="0"/>
      <w:marTop w:val="0"/>
      <w:marBottom w:val="0"/>
      <w:divBdr>
        <w:top w:val="none" w:sz="0" w:space="0" w:color="auto"/>
        <w:left w:val="none" w:sz="0" w:space="0" w:color="auto"/>
        <w:bottom w:val="none" w:sz="0" w:space="0" w:color="auto"/>
        <w:right w:val="none" w:sz="0" w:space="0" w:color="auto"/>
      </w:divBdr>
    </w:div>
    <w:div w:id="1846896040">
      <w:bodyDiv w:val="1"/>
      <w:marLeft w:val="0"/>
      <w:marRight w:val="0"/>
      <w:marTop w:val="0"/>
      <w:marBottom w:val="0"/>
      <w:divBdr>
        <w:top w:val="none" w:sz="0" w:space="0" w:color="auto"/>
        <w:left w:val="none" w:sz="0" w:space="0" w:color="auto"/>
        <w:bottom w:val="none" w:sz="0" w:space="0" w:color="auto"/>
        <w:right w:val="none" w:sz="0" w:space="0" w:color="auto"/>
      </w:divBdr>
    </w:div>
    <w:div w:id="1858422012">
      <w:bodyDiv w:val="1"/>
      <w:marLeft w:val="0"/>
      <w:marRight w:val="0"/>
      <w:marTop w:val="0"/>
      <w:marBottom w:val="0"/>
      <w:divBdr>
        <w:top w:val="none" w:sz="0" w:space="0" w:color="auto"/>
        <w:left w:val="none" w:sz="0" w:space="0" w:color="auto"/>
        <w:bottom w:val="none" w:sz="0" w:space="0" w:color="auto"/>
        <w:right w:val="none" w:sz="0" w:space="0" w:color="auto"/>
      </w:divBdr>
    </w:div>
    <w:div w:id="1904487465">
      <w:bodyDiv w:val="1"/>
      <w:marLeft w:val="0"/>
      <w:marRight w:val="0"/>
      <w:marTop w:val="0"/>
      <w:marBottom w:val="0"/>
      <w:divBdr>
        <w:top w:val="none" w:sz="0" w:space="0" w:color="auto"/>
        <w:left w:val="none" w:sz="0" w:space="0" w:color="auto"/>
        <w:bottom w:val="none" w:sz="0" w:space="0" w:color="auto"/>
        <w:right w:val="none" w:sz="0" w:space="0" w:color="auto"/>
      </w:divBdr>
    </w:div>
    <w:div w:id="1925793812">
      <w:bodyDiv w:val="1"/>
      <w:marLeft w:val="0"/>
      <w:marRight w:val="0"/>
      <w:marTop w:val="0"/>
      <w:marBottom w:val="0"/>
      <w:divBdr>
        <w:top w:val="none" w:sz="0" w:space="0" w:color="auto"/>
        <w:left w:val="none" w:sz="0" w:space="0" w:color="auto"/>
        <w:bottom w:val="none" w:sz="0" w:space="0" w:color="auto"/>
        <w:right w:val="none" w:sz="0" w:space="0" w:color="auto"/>
      </w:divBdr>
    </w:div>
    <w:div w:id="1929607347">
      <w:bodyDiv w:val="1"/>
      <w:marLeft w:val="0"/>
      <w:marRight w:val="0"/>
      <w:marTop w:val="0"/>
      <w:marBottom w:val="0"/>
      <w:divBdr>
        <w:top w:val="none" w:sz="0" w:space="0" w:color="auto"/>
        <w:left w:val="none" w:sz="0" w:space="0" w:color="auto"/>
        <w:bottom w:val="none" w:sz="0" w:space="0" w:color="auto"/>
        <w:right w:val="none" w:sz="0" w:space="0" w:color="auto"/>
      </w:divBdr>
    </w:div>
    <w:div w:id="1999074286">
      <w:bodyDiv w:val="1"/>
      <w:marLeft w:val="0"/>
      <w:marRight w:val="0"/>
      <w:marTop w:val="0"/>
      <w:marBottom w:val="0"/>
      <w:divBdr>
        <w:top w:val="none" w:sz="0" w:space="0" w:color="auto"/>
        <w:left w:val="none" w:sz="0" w:space="0" w:color="auto"/>
        <w:bottom w:val="none" w:sz="0" w:space="0" w:color="auto"/>
        <w:right w:val="none" w:sz="0" w:space="0" w:color="auto"/>
      </w:divBdr>
    </w:div>
    <w:div w:id="2017295697">
      <w:bodyDiv w:val="1"/>
      <w:marLeft w:val="0"/>
      <w:marRight w:val="0"/>
      <w:marTop w:val="0"/>
      <w:marBottom w:val="0"/>
      <w:divBdr>
        <w:top w:val="none" w:sz="0" w:space="0" w:color="auto"/>
        <w:left w:val="none" w:sz="0" w:space="0" w:color="auto"/>
        <w:bottom w:val="none" w:sz="0" w:space="0" w:color="auto"/>
        <w:right w:val="none" w:sz="0" w:space="0" w:color="auto"/>
      </w:divBdr>
    </w:div>
    <w:div w:id="2065251121">
      <w:bodyDiv w:val="1"/>
      <w:marLeft w:val="0"/>
      <w:marRight w:val="0"/>
      <w:marTop w:val="0"/>
      <w:marBottom w:val="0"/>
      <w:divBdr>
        <w:top w:val="none" w:sz="0" w:space="0" w:color="auto"/>
        <w:left w:val="none" w:sz="0" w:space="0" w:color="auto"/>
        <w:bottom w:val="none" w:sz="0" w:space="0" w:color="auto"/>
        <w:right w:val="none" w:sz="0" w:space="0" w:color="auto"/>
      </w:divBdr>
    </w:div>
    <w:div w:id="20964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doi.org//joc.2017.02.04"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oleObject" Target="embeddings/oleObject1.bin"/><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CE05C-99F7-478F-B214-23A88D31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103</Pages>
  <Words>30499</Words>
  <Characters>180255</Characters>
  <Application>Microsoft Office Word</Application>
  <DocSecurity>0</DocSecurity>
  <Lines>3755</Lines>
  <Paragraphs>1848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Kuděj</dc:creator>
  <cp:keywords/>
  <dc:description/>
  <cp:lastModifiedBy>Tomas</cp:lastModifiedBy>
  <cp:revision>8</cp:revision>
  <cp:lastPrinted>2020-01-26T17:14:00Z</cp:lastPrinted>
  <dcterms:created xsi:type="dcterms:W3CDTF">2020-01-27T21:12:00Z</dcterms:created>
  <dcterms:modified xsi:type="dcterms:W3CDTF">2020-04-12T00:38:00Z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a104e-2916-42dc-a2f6-6210338509ed_Enabled">
    <vt:lpwstr>True</vt:lpwstr>
  </property>
  <property fmtid="{D5CDD505-2E9C-101B-9397-08002B2CF9AE}" pid="3" name="MSIP_Label_2b3a104e-2916-42dc-a2f6-6210338509ed_SiteId">
    <vt:lpwstr>e70aafb3-2e89-46a5-ba50-66803e8a4411</vt:lpwstr>
  </property>
  <property fmtid="{D5CDD505-2E9C-101B-9397-08002B2CF9AE}" pid="4" name="MSIP_Label_2b3a104e-2916-42dc-a2f6-6210338509ed_Owner">
    <vt:lpwstr>jschonfeld@csas.cz</vt:lpwstr>
  </property>
  <property fmtid="{D5CDD505-2E9C-101B-9397-08002B2CF9AE}" pid="5" name="MSIP_Label_2b3a104e-2916-42dc-a2f6-6210338509ed_SetDate">
    <vt:lpwstr>2020-01-21T15:36:05.0510827Z</vt:lpwstr>
  </property>
  <property fmtid="{D5CDD505-2E9C-101B-9397-08002B2CF9AE}" pid="6" name="MSIP_Label_2b3a104e-2916-42dc-a2f6-6210338509ed_Name">
    <vt:lpwstr>CS Internal</vt:lpwstr>
  </property>
  <property fmtid="{D5CDD505-2E9C-101B-9397-08002B2CF9AE}" pid="7" name="MSIP_Label_2b3a104e-2916-42dc-a2f6-6210338509ed_Application">
    <vt:lpwstr>Microsoft Azure Information Protection</vt:lpwstr>
  </property>
  <property fmtid="{D5CDD505-2E9C-101B-9397-08002B2CF9AE}" pid="8" name="MSIP_Label_2b3a104e-2916-42dc-a2f6-6210338509ed_ActionId">
    <vt:lpwstr>33ac9032-96e2-4d0b-ba52-f311cb65070d</vt:lpwstr>
  </property>
  <property fmtid="{D5CDD505-2E9C-101B-9397-08002B2CF9AE}" pid="9" name="MSIP_Label_2b3a104e-2916-42dc-a2f6-6210338509ed_Extended_MSFT_Method">
    <vt:lpwstr>Automatic</vt:lpwstr>
  </property>
  <property fmtid="{D5CDD505-2E9C-101B-9397-08002B2CF9AE}" pid="10" name="Sensitivity">
    <vt:lpwstr>CS Internal</vt:lpwstr>
  </property>
</Properties>
</file>